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E4" w:rsidRPr="00F652E4" w:rsidRDefault="00F652E4" w:rsidP="00F652E4">
      <w:pPr>
        <w:jc w:val="right"/>
      </w:pPr>
      <w:r w:rsidRPr="00F652E4">
        <w:t>Приложение 2 к аналитической записке</w:t>
      </w:r>
    </w:p>
    <w:tbl>
      <w:tblPr>
        <w:tblW w:w="5411" w:type="pct"/>
        <w:tblInd w:w="-396" w:type="dxa"/>
        <w:tblLook w:val="04A0" w:firstRow="1" w:lastRow="0" w:firstColumn="1" w:lastColumn="0" w:noHBand="0" w:noVBand="1"/>
      </w:tblPr>
      <w:tblGrid>
        <w:gridCol w:w="456"/>
        <w:gridCol w:w="2922"/>
        <w:gridCol w:w="1158"/>
        <w:gridCol w:w="1006"/>
        <w:gridCol w:w="1158"/>
        <w:gridCol w:w="1010"/>
        <w:gridCol w:w="1183"/>
        <w:gridCol w:w="1220"/>
      </w:tblGrid>
      <w:tr w:rsidR="00F652E4" w:rsidRPr="00F652E4" w:rsidTr="004A2480">
        <w:trPr>
          <w:trHeight w:val="315"/>
        </w:trPr>
        <w:tc>
          <w:tcPr>
            <w:tcW w:w="5000" w:type="pct"/>
            <w:gridSpan w:val="8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F652E4" w:rsidRDefault="00F652E4" w:rsidP="00F652E4">
            <w:pPr>
              <w:jc w:val="center"/>
              <w:rPr>
                <w:b/>
                <w:bCs/>
              </w:rPr>
            </w:pPr>
          </w:p>
          <w:p w:rsidR="00F652E4" w:rsidRPr="00F652E4" w:rsidRDefault="00F652E4" w:rsidP="00F652E4">
            <w:pPr>
              <w:ind w:left="72" w:firstLine="709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Сравнительный а</w:t>
            </w:r>
            <w:r w:rsidRPr="00F652E4">
              <w:rPr>
                <w:b/>
                <w:bCs/>
                <w:szCs w:val="20"/>
              </w:rPr>
              <w:t>нализ основных показателей прогноза</w:t>
            </w:r>
          </w:p>
          <w:p w:rsidR="00F652E4" w:rsidRDefault="00F652E4" w:rsidP="00F652E4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  <w:szCs w:val="20"/>
              </w:rPr>
              <w:t>социально-экономического развития Удмуртской Республики</w:t>
            </w:r>
            <w:r>
              <w:rPr>
                <w:b/>
                <w:bCs/>
                <w:szCs w:val="20"/>
              </w:rPr>
              <w:t xml:space="preserve"> с Российской Федерацией и субъектами Приволжского федерального округа</w:t>
            </w:r>
          </w:p>
          <w:p w:rsidR="00F652E4" w:rsidRDefault="00F652E4" w:rsidP="004A2480">
            <w:pPr>
              <w:jc w:val="center"/>
              <w:rPr>
                <w:b/>
                <w:bCs/>
              </w:rPr>
            </w:pPr>
          </w:p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Валовой региональный продукт</w:t>
            </w:r>
          </w:p>
        </w:tc>
      </w:tr>
      <w:tr w:rsidR="00F652E4" w:rsidRPr="00F652E4" w:rsidTr="004A2480">
        <w:trPr>
          <w:trHeight w:val="330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(темп роста в сопоставимых ценах в % к предыдущему году)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Оценка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  <w:r w:rsidRPr="00F652E4">
              <w:rPr>
                <w:b/>
                <w:bCs/>
                <w:color w:val="0070C0"/>
              </w:rPr>
              <w:t> </w:t>
            </w:r>
          </w:p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</w:tc>
        <w:tc>
          <w:tcPr>
            <w:tcW w:w="2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Прогноз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2022</w:t>
            </w: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rPr>
                <w:b/>
                <w:bCs/>
              </w:rPr>
            </w:pPr>
            <w:r w:rsidRPr="00F652E4">
              <w:rPr>
                <w:b/>
                <w:bCs/>
              </w:rPr>
              <w:t>Российская Федерация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/>
              </w:rPr>
            </w:pPr>
            <w:r w:rsidRPr="00F652E4">
              <w:rPr>
                <w:b/>
                <w:bCs/>
                <w:color w:val="000000"/>
              </w:rPr>
              <w:t>97,1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/>
              </w:rPr>
            </w:pPr>
            <w:r w:rsidRPr="00F652E4">
              <w:rPr>
                <w:b/>
                <w:bCs/>
                <w:color w:val="000000"/>
              </w:rPr>
              <w:t>99,2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/>
              </w:rPr>
            </w:pPr>
            <w:r w:rsidRPr="00F652E4">
              <w:rPr>
                <w:b/>
                <w:bCs/>
                <w:color w:val="000000"/>
              </w:rPr>
              <w:t>102,6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/>
              </w:rPr>
            </w:pPr>
            <w:r w:rsidRPr="00F652E4">
              <w:rPr>
                <w:b/>
                <w:bCs/>
                <w:color w:val="000000"/>
              </w:rPr>
              <w:t>102,6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Башкортостан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103,6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Марий Эл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99,0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103,2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Мордовия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7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Татарстан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100,6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100,8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103,2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102,7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r w:rsidRPr="00F652E4">
              <w:t>Удмуртская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101,9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6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Чувашская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92,0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99,5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103,3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102,9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Пермский край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93,2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98,1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103,1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Кировская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Нижегородская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97,5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102,3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Оренбургская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97,1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99,2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102,6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102,6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Пензенская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98,1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101,4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102,5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102,9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Самарская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95,1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103,3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Саратовская область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108,4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106,1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107,3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107,7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Ульяновская область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92,2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99,3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103,2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102,6</w:t>
            </w:r>
          </w:p>
        </w:tc>
      </w:tr>
      <w:tr w:rsidR="00F652E4" w:rsidRPr="00F652E4" w:rsidTr="004A2480">
        <w:trPr>
          <w:trHeight w:val="315"/>
        </w:trPr>
        <w:tc>
          <w:tcPr>
            <w:tcW w:w="5000" w:type="pct"/>
            <w:gridSpan w:val="8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Индекс потребительских цен</w:t>
            </w:r>
          </w:p>
        </w:tc>
      </w:tr>
      <w:tr w:rsidR="00F652E4" w:rsidRPr="00F652E4" w:rsidTr="004A2480">
        <w:trPr>
          <w:trHeight w:val="330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(темп роста в % в среднем за год)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Оценка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Прогноз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2022</w:t>
            </w: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2023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rPr>
                <w:b/>
                <w:bCs/>
              </w:rPr>
            </w:pPr>
            <w:r w:rsidRPr="00F652E4">
              <w:rPr>
                <w:b/>
                <w:bCs/>
              </w:rPr>
              <w:t>Российская Федерация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/>
              </w:rPr>
            </w:pPr>
            <w:r w:rsidRPr="00F652E4">
              <w:rPr>
                <w:b/>
                <w:bCs/>
                <w:color w:val="000000"/>
              </w:rPr>
              <w:t>113,9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/>
              </w:rPr>
            </w:pPr>
            <w:r w:rsidRPr="00F652E4">
              <w:rPr>
                <w:b/>
                <w:bCs/>
                <w:color w:val="000000"/>
              </w:rPr>
              <w:t>106,0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/>
              </w:rPr>
            </w:pPr>
            <w:r w:rsidRPr="00F652E4">
              <w:rPr>
                <w:b/>
                <w:bCs/>
                <w:color w:val="000000"/>
              </w:rPr>
              <w:t>104,7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/>
              </w:rPr>
            </w:pPr>
            <w:r w:rsidRPr="00F652E4">
              <w:rPr>
                <w:b/>
                <w:bCs/>
                <w:color w:val="000000"/>
              </w:rPr>
              <w:t>104,0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Башкортостан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112,4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105,5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Марий Эл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114,6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109,0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104,6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104,0</w:t>
            </w:r>
          </w:p>
        </w:tc>
      </w:tr>
      <w:tr w:rsidR="00F652E4" w:rsidRPr="00F652E4" w:rsidTr="004A2480">
        <w:trPr>
          <w:trHeight w:val="9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t>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r w:rsidRPr="00F652E4">
              <w:t>Республика Мордовия</w:t>
            </w:r>
          </w:p>
        </w:tc>
        <w:tc>
          <w:tcPr>
            <w:tcW w:w="33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Татарстан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112,8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r w:rsidRPr="00F652E4">
              <w:t>Удмуртская Республика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115,7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108,4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105,7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Чувашская Республика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117,1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109,0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105,7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105,1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Пермский край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114,3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Кировская область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115,3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108,3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105,5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104,4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Нижегородская область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113,7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104,9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Оренбургская область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113,9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104,7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Пензенская область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113,9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104,7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Самарская область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114,3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104,7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Саратовская область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117,2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103,9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Ульяновская область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117,5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108,0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104,2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104,0</w:t>
            </w:r>
          </w:p>
        </w:tc>
      </w:tr>
      <w:tr w:rsidR="00F652E4" w:rsidRPr="00F652E4" w:rsidTr="004A2480">
        <w:trPr>
          <w:trHeight w:val="315"/>
        </w:trPr>
        <w:tc>
          <w:tcPr>
            <w:tcW w:w="5000" w:type="pct"/>
            <w:gridSpan w:val="8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0C1A69" w:rsidRDefault="000C1A69" w:rsidP="004A2480">
            <w:pPr>
              <w:jc w:val="center"/>
              <w:rPr>
                <w:b/>
                <w:bCs/>
              </w:rPr>
            </w:pPr>
          </w:p>
          <w:p w:rsidR="000C1A69" w:rsidRDefault="000C1A69" w:rsidP="004A2480">
            <w:pPr>
              <w:jc w:val="center"/>
              <w:rPr>
                <w:b/>
                <w:bCs/>
              </w:rPr>
            </w:pPr>
          </w:p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lastRenderedPageBreak/>
              <w:t>Индекс промышленного производства</w:t>
            </w:r>
          </w:p>
        </w:tc>
      </w:tr>
      <w:tr w:rsidR="00F652E4" w:rsidRPr="00F652E4" w:rsidTr="004A2480">
        <w:trPr>
          <w:trHeight w:val="330"/>
        </w:trPr>
        <w:tc>
          <w:tcPr>
            <w:tcW w:w="5000" w:type="pct"/>
            <w:gridSpan w:val="8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lastRenderedPageBreak/>
              <w:t>(темп роста в % к предыдущему году)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Оценка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Прогноз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2022</w:t>
            </w: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rPr>
                <w:b/>
                <w:bCs/>
              </w:rPr>
            </w:pPr>
            <w:r w:rsidRPr="00F652E4">
              <w:rPr>
                <w:b/>
                <w:bCs/>
              </w:rPr>
              <w:t>Российская Федерация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98,2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98,7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102,2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102,3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Башкортостан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104,2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Марий Эл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95,5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Мордовия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Татарстан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102,4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r w:rsidRPr="00F652E4">
              <w:t>Удмуртская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100,7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6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Чувашская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97,0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100,1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101,3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102,5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Пермский край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97,5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99,4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99,6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Кировская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105,2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103,6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Нижегородская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96,8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102,1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Оренбургская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98,8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99,3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101,2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Пензенская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104,0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Самарская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94,1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104,2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Саратовская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97,1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Ульяновская область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87,4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94,7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101,7</w:t>
            </w:r>
          </w:p>
        </w:tc>
      </w:tr>
      <w:tr w:rsidR="00F652E4" w:rsidRPr="00F652E4" w:rsidTr="004A2480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4980" w:type="pct"/>
              <w:tblInd w:w="20" w:type="dxa"/>
              <w:tblLook w:val="04A0" w:firstRow="1" w:lastRow="0" w:firstColumn="1" w:lastColumn="0" w:noHBand="0" w:noVBand="1"/>
            </w:tblPr>
            <w:tblGrid>
              <w:gridCol w:w="456"/>
              <w:gridCol w:w="2922"/>
              <w:gridCol w:w="1116"/>
              <w:gridCol w:w="956"/>
              <w:gridCol w:w="1118"/>
              <w:gridCol w:w="965"/>
              <w:gridCol w:w="1140"/>
              <w:gridCol w:w="1174"/>
            </w:tblGrid>
            <w:tr w:rsidR="00F652E4" w:rsidRPr="00F652E4" w:rsidTr="004A2480">
              <w:trPr>
                <w:trHeight w:val="315"/>
              </w:trPr>
              <w:tc>
                <w:tcPr>
                  <w:tcW w:w="5000" w:type="pct"/>
                  <w:gridSpan w:val="8"/>
                  <w:shd w:val="clear" w:color="auto" w:fill="auto"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bCs/>
                    </w:rPr>
                  </w:pPr>
                  <w:r w:rsidRPr="00F652E4">
                    <w:rPr>
                      <w:b/>
                      <w:bCs/>
                    </w:rPr>
                    <w:t>Инвестиции в основной капитал</w:t>
                  </w:r>
                </w:p>
              </w:tc>
            </w:tr>
            <w:tr w:rsidR="00F652E4" w:rsidRPr="00F652E4" w:rsidTr="004A2480">
              <w:trPr>
                <w:trHeight w:val="330"/>
              </w:trPr>
              <w:tc>
                <w:tcPr>
                  <w:tcW w:w="5000" w:type="pct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 xml:space="preserve"> (темп роста в сопоставимых ценах в % к предыдущему году)</w:t>
                  </w:r>
                </w:p>
              </w:tc>
            </w:tr>
            <w:tr w:rsidR="00F652E4" w:rsidRPr="00F652E4" w:rsidTr="004A2480">
              <w:trPr>
                <w:trHeight w:val="315"/>
              </w:trPr>
              <w:tc>
                <w:tcPr>
                  <w:tcW w:w="2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 </w:t>
                  </w:r>
                </w:p>
              </w:tc>
              <w:tc>
                <w:tcPr>
                  <w:tcW w:w="14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Наименование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bCs/>
                    </w:rPr>
                  </w:pPr>
                  <w:r w:rsidRPr="00F652E4">
                    <w:rPr>
                      <w:b/>
                      <w:bCs/>
                    </w:rPr>
                    <w:t>Оценка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652E4">
                    <w:rPr>
                      <w:b/>
                      <w:bCs/>
                      <w:color w:val="000000" w:themeColor="text1"/>
                    </w:rPr>
                    <w:t>Ранг</w:t>
                  </w:r>
                </w:p>
              </w:tc>
              <w:tc>
                <w:tcPr>
                  <w:tcW w:w="223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bCs/>
                    </w:rPr>
                  </w:pPr>
                  <w:r w:rsidRPr="00F652E4">
                    <w:rPr>
                      <w:b/>
                      <w:bCs/>
                    </w:rPr>
                    <w:t>Прогноз</w:t>
                  </w:r>
                </w:p>
              </w:tc>
            </w:tr>
            <w:tr w:rsidR="00F652E4" w:rsidRPr="00F652E4" w:rsidTr="004A2480">
              <w:trPr>
                <w:trHeight w:val="315"/>
              </w:trPr>
              <w:tc>
                <w:tcPr>
                  <w:tcW w:w="23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2E4" w:rsidRPr="00F652E4" w:rsidRDefault="00F652E4" w:rsidP="004A2480"/>
              </w:tc>
              <w:tc>
                <w:tcPr>
                  <w:tcW w:w="14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2E4" w:rsidRPr="00F652E4" w:rsidRDefault="00F652E4" w:rsidP="004A2480"/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bCs/>
                    </w:rPr>
                  </w:pPr>
                  <w:r w:rsidRPr="00F652E4">
                    <w:rPr>
                      <w:b/>
                      <w:bCs/>
                    </w:rPr>
                    <w:t>2022</w:t>
                  </w:r>
                </w:p>
              </w:tc>
              <w:tc>
                <w:tcPr>
                  <w:tcW w:w="4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bCs/>
                    </w:rPr>
                  </w:pPr>
                  <w:r w:rsidRPr="00F652E4">
                    <w:rPr>
                      <w:b/>
                      <w:bCs/>
                    </w:rPr>
                    <w:t>2023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652E4">
                    <w:rPr>
                      <w:b/>
                      <w:bCs/>
                      <w:color w:val="000000" w:themeColor="text1"/>
                    </w:rPr>
                    <w:t>Ранг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bCs/>
                    </w:rPr>
                  </w:pPr>
                  <w:r w:rsidRPr="00F652E4">
                    <w:rPr>
                      <w:b/>
                      <w:bCs/>
                    </w:rPr>
                    <w:t>2024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bCs/>
                    </w:rPr>
                  </w:pPr>
                  <w:r w:rsidRPr="00F652E4">
                    <w:rPr>
                      <w:b/>
                      <w:bCs/>
                    </w:rPr>
                    <w:t>2025</w:t>
                  </w:r>
                </w:p>
              </w:tc>
            </w:tr>
            <w:tr w:rsidR="00F652E4" w:rsidRPr="00F652E4" w:rsidTr="004A2480">
              <w:trPr>
                <w:trHeight w:val="315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 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rPr>
                      <w:b/>
                      <w:bCs/>
                    </w:rPr>
                  </w:pPr>
                  <w:r w:rsidRPr="00F652E4">
                    <w:rPr>
                      <w:b/>
                      <w:bCs/>
                    </w:rPr>
                    <w:t>Российская Федерация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bCs/>
                    </w:rPr>
                  </w:pPr>
                  <w:r w:rsidRPr="00F652E4">
                    <w:rPr>
                      <w:b/>
                      <w:bCs/>
                    </w:rPr>
                    <w:t>98,0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bCs/>
                    </w:rPr>
                  </w:pPr>
                  <w:r w:rsidRPr="00F652E4">
                    <w:rPr>
                      <w:b/>
                      <w:bCs/>
                    </w:rPr>
                    <w:t>99,0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bCs/>
                    </w:rPr>
                  </w:pPr>
                  <w:r w:rsidRPr="00F652E4">
                    <w:rPr>
                      <w:b/>
                      <w:bCs/>
                    </w:rPr>
                    <w:t>103,9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bCs/>
                    </w:rPr>
                  </w:pPr>
                  <w:r w:rsidRPr="00F652E4">
                    <w:rPr>
                      <w:b/>
                      <w:bCs/>
                    </w:rPr>
                    <w:t>103,7</w:t>
                  </w:r>
                </w:p>
              </w:tc>
            </w:tr>
            <w:tr w:rsidR="00F652E4" w:rsidRPr="00F652E4" w:rsidTr="004A2480">
              <w:trPr>
                <w:trHeight w:val="315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r w:rsidRPr="00F652E4">
                    <w:t>Республика Башкортостан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102,9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100,3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100,8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102,8</w:t>
                  </w:r>
                </w:p>
              </w:tc>
            </w:tr>
            <w:tr w:rsidR="00F652E4" w:rsidRPr="00F652E4" w:rsidTr="004A2480">
              <w:trPr>
                <w:trHeight w:val="315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2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r w:rsidRPr="00F652E4">
                    <w:t>Республика Марий Эл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100,1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102,5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103,3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104,0</w:t>
                  </w:r>
                </w:p>
              </w:tc>
            </w:tr>
            <w:tr w:rsidR="00F652E4" w:rsidRPr="00F652E4" w:rsidTr="004A2480">
              <w:trPr>
                <w:trHeight w:val="315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3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r w:rsidRPr="00F652E4">
                    <w:t>Республика Мордовия</w:t>
                  </w:r>
                </w:p>
              </w:tc>
              <w:tc>
                <w:tcPr>
                  <w:tcW w:w="3292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2E4" w:rsidRPr="00F652E4" w:rsidRDefault="00F652E4" w:rsidP="004A2480">
                  <w:pPr>
                    <w:jc w:val="center"/>
                    <w:rPr>
                      <w:color w:val="000000" w:themeColor="text1"/>
                    </w:rPr>
                  </w:pPr>
                  <w:r w:rsidRPr="00F652E4">
                    <w:rPr>
                      <w:color w:val="000000" w:themeColor="text1"/>
                    </w:rPr>
                    <w:t>данных нет</w:t>
                  </w:r>
                </w:p>
              </w:tc>
            </w:tr>
            <w:tr w:rsidR="00F652E4" w:rsidRPr="00F652E4" w:rsidTr="004A2480">
              <w:trPr>
                <w:trHeight w:val="315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4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r w:rsidRPr="00F652E4">
                    <w:t>Республика Татарстан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color w:val="000000"/>
                    </w:rPr>
                  </w:pPr>
                  <w:r w:rsidRPr="00F652E4">
                    <w:rPr>
                      <w:color w:val="000000"/>
                    </w:rPr>
                    <w:t>98,2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color w:val="000000"/>
                    </w:rPr>
                  </w:pPr>
                  <w:r w:rsidRPr="00F652E4">
                    <w:rPr>
                      <w:color w:val="000000"/>
                    </w:rPr>
                    <w:t>100,2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color w:val="000000"/>
                    </w:rPr>
                  </w:pPr>
                  <w:r w:rsidRPr="00F652E4">
                    <w:rPr>
                      <w:color w:val="000000"/>
                    </w:rPr>
                    <w:t>102,5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color w:val="000000"/>
                    </w:rPr>
                  </w:pPr>
                  <w:r w:rsidRPr="00F652E4">
                    <w:rPr>
                      <w:color w:val="000000"/>
                    </w:rPr>
                    <w:t>103,4</w:t>
                  </w:r>
                </w:p>
              </w:tc>
            </w:tr>
            <w:tr w:rsidR="00F652E4" w:rsidRPr="00F652E4" w:rsidTr="004A2480">
              <w:trPr>
                <w:trHeight w:val="315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5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F652E4" w:rsidRPr="00F652E4" w:rsidRDefault="00F652E4" w:rsidP="004A2480">
                  <w:r w:rsidRPr="00F652E4">
                    <w:t>Удмуртская Республика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100,0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102,0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104,0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104,2</w:t>
                  </w:r>
                </w:p>
              </w:tc>
            </w:tr>
            <w:tr w:rsidR="00F652E4" w:rsidRPr="00F652E4" w:rsidTr="004A2480">
              <w:trPr>
                <w:trHeight w:val="315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6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r w:rsidRPr="00F652E4">
                    <w:t>Чувашская Республика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color w:val="000000"/>
                    </w:rPr>
                  </w:pPr>
                  <w:r w:rsidRPr="00F652E4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color w:val="000000"/>
                    </w:rPr>
                  </w:pPr>
                  <w:r w:rsidRPr="00F652E4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color w:val="000000"/>
                    </w:rPr>
                  </w:pPr>
                  <w:r w:rsidRPr="00F652E4">
                    <w:rPr>
                      <w:color w:val="000000"/>
                    </w:rPr>
                    <w:t>105,1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color w:val="000000"/>
                    </w:rPr>
                  </w:pPr>
                  <w:r w:rsidRPr="00F652E4">
                    <w:rPr>
                      <w:color w:val="000000"/>
                    </w:rPr>
                    <w:t>105,2</w:t>
                  </w:r>
                </w:p>
              </w:tc>
            </w:tr>
            <w:tr w:rsidR="00F652E4" w:rsidRPr="00F652E4" w:rsidTr="004A2480">
              <w:trPr>
                <w:trHeight w:val="315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7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r w:rsidRPr="00F652E4">
                    <w:t>Пермский край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105,5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78,5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109,9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90,1</w:t>
                  </w:r>
                </w:p>
              </w:tc>
            </w:tr>
            <w:tr w:rsidR="00F652E4" w:rsidRPr="00F652E4" w:rsidTr="004A2480">
              <w:trPr>
                <w:trHeight w:val="315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8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r w:rsidRPr="00F652E4">
                    <w:t>Кировская область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85,8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101,6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102,3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104,0</w:t>
                  </w:r>
                </w:p>
              </w:tc>
            </w:tr>
            <w:tr w:rsidR="00F652E4" w:rsidRPr="00F652E4" w:rsidTr="004A2480">
              <w:trPr>
                <w:trHeight w:val="315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9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r w:rsidRPr="00F652E4">
                    <w:t>Нижегородская область</w:t>
                  </w:r>
                </w:p>
              </w:tc>
              <w:tc>
                <w:tcPr>
                  <w:tcW w:w="3292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2E4" w:rsidRPr="00F652E4" w:rsidRDefault="00F652E4" w:rsidP="004A2480">
                  <w:pPr>
                    <w:jc w:val="center"/>
                    <w:rPr>
                      <w:color w:val="000000" w:themeColor="text1"/>
                    </w:rPr>
                  </w:pPr>
                  <w:r w:rsidRPr="00F652E4">
                    <w:rPr>
                      <w:color w:val="000000" w:themeColor="text1"/>
                    </w:rPr>
                    <w:t>данных нет</w:t>
                  </w:r>
                </w:p>
              </w:tc>
            </w:tr>
            <w:tr w:rsidR="00F652E4" w:rsidRPr="00F652E4" w:rsidTr="004A2480">
              <w:trPr>
                <w:trHeight w:val="315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r w:rsidRPr="00F652E4">
                    <w:t>Оренбургская область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93,1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95,8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100,1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100,3</w:t>
                  </w:r>
                </w:p>
              </w:tc>
            </w:tr>
            <w:tr w:rsidR="00F652E4" w:rsidRPr="00F652E4" w:rsidTr="004A2480">
              <w:trPr>
                <w:trHeight w:val="315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11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r w:rsidRPr="00F652E4">
                    <w:t>Пензенская область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102,1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104,1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104,7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104,9</w:t>
                  </w:r>
                </w:p>
              </w:tc>
            </w:tr>
            <w:tr w:rsidR="00F652E4" w:rsidRPr="00F652E4" w:rsidTr="004A2480">
              <w:trPr>
                <w:trHeight w:val="315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12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r w:rsidRPr="00F652E4">
                    <w:t>Самарская область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103,0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101,7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103,8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104,6</w:t>
                  </w:r>
                </w:p>
              </w:tc>
            </w:tr>
            <w:tr w:rsidR="00F652E4" w:rsidRPr="00F652E4" w:rsidTr="004A2480">
              <w:trPr>
                <w:trHeight w:val="315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13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r w:rsidRPr="00F652E4">
                    <w:t>Саратовская область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92,6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100,5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652E4">
                    <w:rPr>
                      <w:b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108,7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105,6</w:t>
                  </w:r>
                </w:p>
              </w:tc>
            </w:tr>
            <w:tr w:rsidR="00F652E4" w:rsidRPr="00F652E4" w:rsidTr="004A2480">
              <w:trPr>
                <w:trHeight w:val="315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t>14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2E4" w:rsidRPr="00F652E4" w:rsidRDefault="00F652E4" w:rsidP="004A2480">
                  <w:r w:rsidRPr="00F652E4">
                    <w:t>Ульяновская область</w:t>
                  </w:r>
                </w:p>
              </w:tc>
              <w:tc>
                <w:tcPr>
                  <w:tcW w:w="3292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2E4" w:rsidRPr="00F652E4" w:rsidRDefault="00F652E4" w:rsidP="004A2480">
                  <w:pPr>
                    <w:jc w:val="center"/>
                  </w:pPr>
                  <w:r w:rsidRPr="00F652E4">
                    <w:rPr>
                      <w:color w:val="000000" w:themeColor="text1"/>
                    </w:rPr>
                    <w:t>данных нет</w:t>
                  </w:r>
                </w:p>
              </w:tc>
            </w:tr>
          </w:tbl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</w:p>
        </w:tc>
      </w:tr>
      <w:tr w:rsidR="00F652E4" w:rsidRPr="00F652E4" w:rsidTr="004A2480">
        <w:trPr>
          <w:trHeight w:val="315"/>
        </w:trPr>
        <w:tc>
          <w:tcPr>
            <w:tcW w:w="5000" w:type="pct"/>
            <w:gridSpan w:val="8"/>
            <w:tcBorders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 xml:space="preserve"> Продукция сельского хозяйства</w:t>
            </w:r>
          </w:p>
        </w:tc>
      </w:tr>
      <w:tr w:rsidR="00F652E4" w:rsidRPr="00F652E4" w:rsidTr="004A2480">
        <w:trPr>
          <w:trHeight w:val="330"/>
        </w:trPr>
        <w:tc>
          <w:tcPr>
            <w:tcW w:w="5000" w:type="pct"/>
            <w:gridSpan w:val="8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(темп роста в сопоставимых ценах в % к предыдущему году)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Оценка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  <w:r w:rsidRPr="00F652E4">
              <w:rPr>
                <w:b/>
                <w:bCs/>
                <w:color w:val="0070C0"/>
              </w:rPr>
              <w:t> </w:t>
            </w:r>
          </w:p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  <w:r w:rsidRPr="00F652E4">
              <w:rPr>
                <w:b/>
                <w:bCs/>
                <w:color w:val="0070C0"/>
              </w:rPr>
              <w:t> </w:t>
            </w:r>
          </w:p>
        </w:tc>
        <w:tc>
          <w:tcPr>
            <w:tcW w:w="2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Прогноз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2022</w:t>
            </w: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  <w:r w:rsidRPr="00F652E4">
              <w:rPr>
                <w:b/>
                <w:bCs/>
                <w:color w:val="0070C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rPr>
                <w:b/>
                <w:bCs/>
              </w:rPr>
            </w:pPr>
            <w:r w:rsidRPr="00F652E4">
              <w:rPr>
                <w:b/>
                <w:bCs/>
              </w:rPr>
              <w:t>Российская Федерация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100,5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  <w:r w:rsidRPr="00F652E4">
              <w:rPr>
                <w:b/>
                <w:bCs/>
                <w:color w:val="0070C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101,6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  <w:r w:rsidRPr="00F652E4">
              <w:rPr>
                <w:b/>
                <w:bCs/>
                <w:color w:val="0070C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101,7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101,7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Башкортостан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121,2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103,2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lastRenderedPageBreak/>
              <w:t>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Марий Эл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100,3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Мордовия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Татарстан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110,7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101,8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r w:rsidRPr="00F652E4">
              <w:t>Удмуртская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103,2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6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Чувашская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101,2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100,9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Пермский край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100,1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Кировская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106,9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101,4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Нижегородская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100,9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Оренбургская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123,3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103,6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103,7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Пензенская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104,5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Самарская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117,7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91,0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103,5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101,3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Саратовская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102,2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Ульяновская область</w:t>
            </w:r>
          </w:p>
        </w:tc>
        <w:tc>
          <w:tcPr>
            <w:tcW w:w="33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</w:p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Объем работ, услуг по виду экономической деятельности «Строительство»</w:t>
            </w:r>
          </w:p>
        </w:tc>
      </w:tr>
      <w:tr w:rsidR="00F652E4" w:rsidRPr="00F652E4" w:rsidTr="004A2480">
        <w:trPr>
          <w:trHeight w:val="33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 xml:space="preserve"> (темп роста в сопоставимых ценах в % к предыдущему году)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Оценка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Прогноз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2022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2023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2024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2025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Башкортостан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103,3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103,1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Марий Эл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103,1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102,2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Мордовия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Татарстан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100,1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r w:rsidRPr="00F652E4">
              <w:t>Удмуртская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102,3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6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Чувашская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99,5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101,8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Пермский край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Кировская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102,3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Нижегородская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Оренбургская область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Пензенская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95,0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103,5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Самарская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103,0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105,1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106,2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Саратовская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95,8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96,0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98,3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Ульяновская область</w:t>
            </w:r>
          </w:p>
        </w:tc>
        <w:tc>
          <w:tcPr>
            <w:tcW w:w="33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Ввод в действие жилых домов</w:t>
            </w:r>
          </w:p>
        </w:tc>
      </w:tr>
      <w:tr w:rsidR="00F652E4" w:rsidRPr="00F652E4" w:rsidTr="004A2480">
        <w:trPr>
          <w:trHeight w:val="330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(в тыс. кв. м общей площади)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Оценка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</w:tc>
        <w:tc>
          <w:tcPr>
            <w:tcW w:w="2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Прогноз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2022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Башкортостан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3 000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3 000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3 085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Марий Эл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386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526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r w:rsidRPr="00F652E4">
              <w:t>Республика Мордовия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Татарстан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2 755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2 830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2 945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3 060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r w:rsidRPr="00F652E4">
              <w:t>Удмуртская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1 000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950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6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Чувашская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716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730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783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857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Пермский край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1 280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1 265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1 432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1 530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Кировская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511,3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596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596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Нижегородская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1 555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1 600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1 728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1 728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Оренбургская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1 070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1 100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1 184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1 184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Пензенская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982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982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Самарская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1 876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2 192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2 214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2 214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1 295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1 350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1 455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1 455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Ульяновская область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780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795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807</w:t>
            </w:r>
          </w:p>
        </w:tc>
      </w:tr>
      <w:tr w:rsidR="00F652E4" w:rsidRPr="00F652E4" w:rsidTr="004A2480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Ввод в действие жилых домов</w:t>
            </w:r>
          </w:p>
        </w:tc>
      </w:tr>
      <w:tr w:rsidR="00F652E4" w:rsidRPr="00F652E4" w:rsidTr="004A2480">
        <w:trPr>
          <w:trHeight w:val="33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(темп роста в % к предыдущему году)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Оценка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</w:tc>
        <w:tc>
          <w:tcPr>
            <w:tcW w:w="2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Прогноз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2022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2023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2024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2025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Башкортостан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103,2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102,8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Марий Эл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103,8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121,5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112,2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Мордовия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Татарстан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91,5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103,9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r w:rsidRPr="00F652E4">
              <w:t>Удмуртская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118,8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95,0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6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Чувашская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99,9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107,3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109,5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Пермский край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97,2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98,8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106,8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Кировская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109,5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Нижегородская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97,7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Оренбургская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97,1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107,6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Пензенская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96,0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112,1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Самарская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116,8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Саратовская область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109,6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107,8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100,0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Ульяновская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93,3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97,5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101,5</w:t>
            </w:r>
          </w:p>
        </w:tc>
      </w:tr>
      <w:tr w:rsidR="00F652E4" w:rsidRPr="00F652E4" w:rsidTr="004A248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Оборот розничной торговли</w:t>
            </w:r>
          </w:p>
        </w:tc>
      </w:tr>
      <w:tr w:rsidR="00F652E4" w:rsidRPr="00F652E4" w:rsidTr="004A2480">
        <w:trPr>
          <w:trHeight w:val="33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 xml:space="preserve"> (темп роста в сопоставимых ценах в % к предыдущему году)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Наименование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Оценка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Прогноз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2022</w:t>
            </w: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rPr>
                <w:b/>
                <w:bCs/>
              </w:rPr>
            </w:pPr>
            <w:r w:rsidRPr="00F652E4">
              <w:rPr>
                <w:b/>
                <w:bCs/>
              </w:rPr>
              <w:t>Российская Федерация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93,9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102,7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103,7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103,1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Башкортостан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103,8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Марий Эл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94,0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Мордовия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Татарстан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93,4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103,8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r w:rsidRPr="00F652E4">
              <w:t>Удмуртская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99,0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102,6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6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Чувашская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Пермский край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Кировская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94,3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102,7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Нижегородская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97,0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106,0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Оренбургская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93,0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104,9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103,8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Пензенская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104,0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Самарская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92,1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102,9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Саратовская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95,1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105,3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104,1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Ульяновская область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Прибыль прибыльных организаций</w:t>
            </w:r>
          </w:p>
        </w:tc>
      </w:tr>
      <w:tr w:rsidR="00F652E4" w:rsidRPr="00F652E4" w:rsidTr="004A2480">
        <w:trPr>
          <w:trHeight w:val="330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(темп роста в % к предыдущему году)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Оценка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Прогноз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2022</w:t>
            </w: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2023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rPr>
                <w:b/>
                <w:bCs/>
              </w:rPr>
            </w:pPr>
            <w:r w:rsidRPr="00F652E4">
              <w:rPr>
                <w:b/>
                <w:bCs/>
              </w:rPr>
              <w:t>Российская Федерация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103,9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105,2</w:t>
            </w: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108,6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109,7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Башкортостан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107,6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108,3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107,0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Марий Эл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105,2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103,3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Мордовия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Татарстан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67,5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109,0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r w:rsidRPr="00F652E4">
              <w:t>Удмуртская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104,4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104,5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6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Чувашская Республика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Пермский край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Кировская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92,3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103,1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Нижегородская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90,3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102,7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Оренбургская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104,2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Пензенская область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Самарская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88,6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109,3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107,4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Саратовская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107,6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Ульяновская область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t>101,0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b/>
                <w:color w:val="0070C0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105,4</w:t>
            </w:r>
          </w:p>
        </w:tc>
      </w:tr>
      <w:tr w:rsidR="00F652E4" w:rsidRPr="00F652E4" w:rsidTr="004A2480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Реальные располагаемые денежные доходы населения</w:t>
            </w:r>
          </w:p>
        </w:tc>
      </w:tr>
      <w:tr w:rsidR="00F652E4" w:rsidRPr="00F652E4" w:rsidTr="004A2480">
        <w:trPr>
          <w:trHeight w:val="330"/>
        </w:trPr>
        <w:tc>
          <w:tcPr>
            <w:tcW w:w="5000" w:type="pct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 xml:space="preserve"> (темп роста в % к предыдущему году)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Оценка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</w:tc>
        <w:tc>
          <w:tcPr>
            <w:tcW w:w="2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Прогноз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rPr>
                <w:b/>
                <w:bCs/>
              </w:rPr>
            </w:pPr>
            <w:r w:rsidRPr="00F652E4">
              <w:rPr>
                <w:b/>
                <w:bCs/>
              </w:rPr>
              <w:t>Российская Федерация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97,8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101,6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102,8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102,5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Башкортостан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98,9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100,7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Марий Эл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103,2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Мордовия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Татарстан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r w:rsidRPr="00F652E4">
              <w:t>Удмуртская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97,0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6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Чувашская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93,0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102,9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Пермский край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104,3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Кировская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97,3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Нижегородская область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/>
              </w:rPr>
            </w:pPr>
            <w:r w:rsidRPr="00F652E4">
              <w:rPr>
                <w:color w:val="000000"/>
              </w:rPr>
              <w:t>97,5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Оренбургская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96,1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Пензенская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99,1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100,8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Самарская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97,8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102,5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Саратовская область</w:t>
            </w:r>
          </w:p>
        </w:tc>
        <w:tc>
          <w:tcPr>
            <w:tcW w:w="33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Ульяновская область</w:t>
            </w:r>
          </w:p>
        </w:tc>
        <w:tc>
          <w:tcPr>
            <w:tcW w:w="33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color w:val="FF0000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 xml:space="preserve">Численность населения с денежными доходами ниже прожиточного минимума </w:t>
            </w:r>
          </w:p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к общей численности населения</w:t>
            </w:r>
          </w:p>
        </w:tc>
      </w:tr>
      <w:tr w:rsidR="00F652E4" w:rsidRPr="00F652E4" w:rsidTr="004A2480">
        <w:trPr>
          <w:trHeight w:val="315"/>
        </w:trPr>
        <w:tc>
          <w:tcPr>
            <w:tcW w:w="5000" w:type="pct"/>
            <w:gridSpan w:val="8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(доля в % от общей численности населения)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Оценка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</w:tc>
        <w:tc>
          <w:tcPr>
            <w:tcW w:w="2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Прогноз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Башкортостан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10,3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9,1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8,7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Марий Эл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17,8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17,7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17,1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15,0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Мордовия</w:t>
            </w:r>
          </w:p>
        </w:tc>
        <w:tc>
          <w:tcPr>
            <w:tcW w:w="3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Татарстан</w:t>
            </w:r>
          </w:p>
        </w:tc>
        <w:tc>
          <w:tcPr>
            <w:tcW w:w="33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r w:rsidRPr="00F652E4">
              <w:t>Удмуртская Республика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10,5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9,2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8,6</w:t>
            </w:r>
          </w:p>
        </w:tc>
      </w:tr>
      <w:tr w:rsidR="00F652E4" w:rsidRPr="00F652E4" w:rsidTr="004A2480">
        <w:trPr>
          <w:trHeight w:val="24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t>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r w:rsidRPr="00F652E4">
              <w:t>Чувашская Республика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t>15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t>14,1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t>13,3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t>12,6</w:t>
            </w:r>
          </w:p>
        </w:tc>
      </w:tr>
      <w:tr w:rsidR="00F652E4" w:rsidRPr="00F652E4" w:rsidTr="004A2480">
        <w:trPr>
          <w:trHeight w:val="24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r w:rsidRPr="00F652E4">
              <w:t>Пермский край</w:t>
            </w:r>
          </w:p>
        </w:tc>
        <w:tc>
          <w:tcPr>
            <w:tcW w:w="33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Кировская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10,8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Нижегородская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7,5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7,1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Оренбургская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10,2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Пензенская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9,7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Самарская область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Саратовская область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Ульяновская область</w:t>
            </w:r>
          </w:p>
        </w:tc>
        <w:tc>
          <w:tcPr>
            <w:tcW w:w="33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 xml:space="preserve">Уровень официально зарегистрированной безработицы </w:t>
            </w:r>
          </w:p>
          <w:p w:rsidR="00F652E4" w:rsidRPr="00F652E4" w:rsidRDefault="00F652E4" w:rsidP="004A2480">
            <w:pPr>
              <w:jc w:val="center"/>
            </w:pPr>
            <w:r w:rsidRPr="00F652E4">
              <w:t xml:space="preserve">(в % на конец года, отношение числа зарегистрированных безработных </w:t>
            </w:r>
          </w:p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t>к численности экономически активного населения)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Оценка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Прогноз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2022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Башкортостан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1,1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Марий Эл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0,8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Мордовия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Татарстан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0,6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r w:rsidRPr="00F652E4">
              <w:t>Удмуртская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6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Чувашская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1,25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1,17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1,15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1,12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Пермский край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Кировская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0,8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Нижегородская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0,4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Оренбургская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1,3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Пензенская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0,7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Самарская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0,7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Саратовская область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Ульяновская область</w:t>
            </w:r>
          </w:p>
        </w:tc>
        <w:tc>
          <w:tcPr>
            <w:tcW w:w="33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Номинальная среднемесячная заработная плата одного работника</w:t>
            </w:r>
          </w:p>
        </w:tc>
      </w:tr>
      <w:tr w:rsidR="00F652E4" w:rsidRPr="00F652E4" w:rsidTr="004A2480">
        <w:trPr>
          <w:trHeight w:val="330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(в рублях)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Оценка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Прогноз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2022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rPr>
                <w:b/>
                <w:bCs/>
              </w:rPr>
            </w:pPr>
            <w:r w:rsidRPr="00F652E4">
              <w:rPr>
                <w:b/>
                <w:bCs/>
              </w:rPr>
              <w:t>Российская Федерация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63 888,0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69 452,0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74 804,0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80 028,0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Башкортостан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46 275,8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50 116,7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54 426,7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59 270,7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Марий Эл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39 436,1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42 612,0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45 360,0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48 122,0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Мордовия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Татарстан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r w:rsidRPr="00F652E4">
              <w:t>Удмуртская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44 566,0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48 131,0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51 741,0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55 104,0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6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Чувашская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39 951,2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42 987,5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46 168,6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49 354,2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Пермский край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50 720,0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53 678,0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56 823,0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60 517,0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Кировская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40 223,0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44 245,0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47 608,0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50 560,0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Нижегородская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46 700,0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51 320,0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55 500,0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59 160,0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Оренбургская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41 463,8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44 891,8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48 255,5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51 989,5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Пензенская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39 994,9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43 594,4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46 951,2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50 472,5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Самарская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46 895,0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50 900,0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54 730,0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58 400,0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Саратовская область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Ульяновская область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39 850,0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42 839,0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45 452,0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48 179,0</w:t>
            </w:r>
          </w:p>
        </w:tc>
      </w:tr>
      <w:tr w:rsidR="00F652E4" w:rsidRPr="00F652E4" w:rsidTr="004A2480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52E4" w:rsidRDefault="00F652E4" w:rsidP="004A2480">
            <w:pPr>
              <w:jc w:val="center"/>
              <w:rPr>
                <w:b/>
                <w:bCs/>
              </w:rPr>
            </w:pPr>
          </w:p>
          <w:p w:rsidR="00F652E4" w:rsidRDefault="00F652E4" w:rsidP="004A2480">
            <w:pPr>
              <w:jc w:val="center"/>
              <w:rPr>
                <w:b/>
                <w:bCs/>
              </w:rPr>
            </w:pPr>
          </w:p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Номинальная среднемесячная заработная плата одного работника</w:t>
            </w:r>
          </w:p>
        </w:tc>
      </w:tr>
      <w:tr w:rsidR="00F652E4" w:rsidRPr="00F652E4" w:rsidTr="004A2480">
        <w:trPr>
          <w:trHeight w:val="33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(темп роста в % к предыдущему году)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Оценка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Прогноз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2022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2023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2024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2025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rPr>
                <w:b/>
                <w:bCs/>
              </w:rPr>
            </w:pPr>
            <w:r w:rsidRPr="00F652E4">
              <w:rPr>
                <w:b/>
                <w:bCs/>
              </w:rPr>
              <w:t>Российская Федерация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111,6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108,7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107,7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107,0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Башкортостан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108,3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108,6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108,9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Марий Эл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108,1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106,1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Мордовия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Татарстан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94,7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102,6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652E4" w:rsidRPr="00F652E4" w:rsidRDefault="00F652E4" w:rsidP="004A2480">
            <w:r w:rsidRPr="00F652E4">
              <w:t>Удмуртская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112,0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107,5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6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Чувашская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111,6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107,6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107,4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106,9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Пермский край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109,6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Кировская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111,3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107,6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106,2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Нижегородская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99,3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109,9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108,2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106,6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Оренбургская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108,1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108,3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107,4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107,8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Пензенская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111,0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107,7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107,5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Самарская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95,9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102,6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Саратовская область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Ульяновская область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109,3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107,5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106,0</w:t>
            </w:r>
          </w:p>
        </w:tc>
      </w:tr>
      <w:tr w:rsidR="00F652E4" w:rsidRPr="00F652E4" w:rsidTr="004A2480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Фонд заработной платы</w:t>
            </w:r>
          </w:p>
        </w:tc>
      </w:tr>
      <w:tr w:rsidR="00F652E4" w:rsidRPr="00F652E4" w:rsidTr="004A2480">
        <w:trPr>
          <w:trHeight w:val="330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(темп роста в % к предыдущему году)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Оценка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Cs/>
                <w:color w:val="000000" w:themeColor="text1"/>
              </w:rPr>
            </w:pPr>
            <w:r w:rsidRPr="00F652E4">
              <w:rPr>
                <w:bCs/>
                <w:color w:val="000000" w:themeColor="text1"/>
              </w:rPr>
              <w:t>Ранг</w:t>
            </w:r>
          </w:p>
          <w:p w:rsidR="00F652E4" w:rsidRPr="00F652E4" w:rsidRDefault="00F652E4" w:rsidP="004A248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Прогноз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E4" w:rsidRPr="00F652E4" w:rsidRDefault="00F652E4" w:rsidP="004A2480"/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2022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  <w:r w:rsidRPr="00F652E4">
              <w:rPr>
                <w:b/>
                <w:bCs/>
                <w:color w:val="000000" w:themeColor="text1"/>
              </w:rPr>
              <w:t>Ранг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2025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rPr>
                <w:b/>
                <w:bCs/>
              </w:rPr>
            </w:pPr>
            <w:r w:rsidRPr="00F652E4">
              <w:rPr>
                <w:b/>
                <w:bCs/>
              </w:rPr>
              <w:t>Российская Федерация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111,1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109,2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108,2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bCs/>
              </w:rPr>
            </w:pPr>
            <w:r w:rsidRPr="00F652E4">
              <w:rPr>
                <w:b/>
                <w:bCs/>
              </w:rPr>
              <w:t>107,4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Башкортостан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107,2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108,7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109,1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109,6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Марий Эл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109,8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107,7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106,3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105,9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Мордовия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color w:val="000000" w:themeColor="text1"/>
              </w:rPr>
              <w:t>данных нет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Республика Татарстан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107,3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107,2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652E4" w:rsidRPr="00F652E4" w:rsidRDefault="00F652E4" w:rsidP="004A2480">
            <w:r w:rsidRPr="00F652E4">
              <w:t>Удмуртская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108,3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107,8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106,8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6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Чувашская Республика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109,1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106,2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Пермский край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108,2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105,2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106,0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8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Кировская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109,1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107,2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106,1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9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Нижегородская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112,0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107,9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106,4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Оренбургская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105,2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105,8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106,3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Пензенская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109,1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107,5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107,3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Самарская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109,5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106,9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Саратовская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109,0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111,1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109,6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108,3</w:t>
            </w:r>
          </w:p>
        </w:tc>
      </w:tr>
      <w:tr w:rsidR="00F652E4" w:rsidRPr="00F652E4" w:rsidTr="004A2480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r w:rsidRPr="00F652E4">
              <w:t>Ульяновская область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color w:val="000000" w:themeColor="text1"/>
              </w:rPr>
            </w:pPr>
            <w:r w:rsidRPr="00F652E4">
              <w:rPr>
                <w:color w:val="000000" w:themeColor="text1"/>
              </w:rPr>
              <w:t>106,8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  <w:rPr>
                <w:b/>
                <w:color w:val="000000" w:themeColor="text1"/>
              </w:rPr>
            </w:pPr>
            <w:r w:rsidRPr="00F652E4">
              <w:rPr>
                <w:b/>
                <w:color w:val="000000" w:themeColor="text1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106,4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E4" w:rsidRPr="00F652E4" w:rsidRDefault="00F652E4" w:rsidP="004A2480">
            <w:pPr>
              <w:jc w:val="center"/>
            </w:pPr>
            <w:r w:rsidRPr="00F652E4">
              <w:t>106,6</w:t>
            </w:r>
          </w:p>
        </w:tc>
      </w:tr>
    </w:tbl>
    <w:p w:rsidR="00F652E4" w:rsidRPr="00F652E4" w:rsidRDefault="00F652E4" w:rsidP="00F652E4"/>
    <w:p w:rsidR="00F652E4" w:rsidRDefault="00F652E4" w:rsidP="000E4EB8">
      <w:pPr>
        <w:ind w:left="72" w:firstLine="709"/>
        <w:jc w:val="right"/>
        <w:rPr>
          <w:b/>
          <w:bCs/>
          <w:szCs w:val="20"/>
        </w:rPr>
      </w:pPr>
    </w:p>
    <w:p w:rsidR="000E4EB8" w:rsidRPr="00F652E4" w:rsidRDefault="00F652E4" w:rsidP="000E4EB8">
      <w:pPr>
        <w:ind w:left="72" w:firstLine="709"/>
        <w:jc w:val="right"/>
        <w:rPr>
          <w:b/>
          <w:bCs/>
          <w:szCs w:val="20"/>
        </w:rPr>
      </w:pPr>
      <w:r>
        <w:rPr>
          <w:b/>
          <w:bCs/>
          <w:szCs w:val="20"/>
        </w:rPr>
        <w:t>Описание сравнительного а</w:t>
      </w:r>
      <w:r w:rsidR="000E4EB8" w:rsidRPr="00F652E4">
        <w:rPr>
          <w:b/>
          <w:bCs/>
          <w:szCs w:val="20"/>
        </w:rPr>
        <w:t>нализ</w:t>
      </w:r>
      <w:r>
        <w:rPr>
          <w:b/>
          <w:bCs/>
          <w:szCs w:val="20"/>
        </w:rPr>
        <w:t>а</w:t>
      </w:r>
      <w:r w:rsidR="000E4EB8" w:rsidRPr="00F652E4">
        <w:rPr>
          <w:b/>
          <w:bCs/>
          <w:szCs w:val="20"/>
        </w:rPr>
        <w:t xml:space="preserve"> </w:t>
      </w:r>
      <w:r w:rsidR="000C1A69">
        <w:rPr>
          <w:b/>
          <w:bCs/>
          <w:szCs w:val="20"/>
        </w:rPr>
        <w:t>отдельных</w:t>
      </w:r>
      <w:r w:rsidR="000E4EB8" w:rsidRPr="00F652E4">
        <w:rPr>
          <w:b/>
          <w:bCs/>
          <w:szCs w:val="20"/>
        </w:rPr>
        <w:t xml:space="preserve"> показателей прогноза </w:t>
      </w:r>
    </w:p>
    <w:p w:rsidR="000E4EB8" w:rsidRPr="00F652E4" w:rsidRDefault="000E4EB8" w:rsidP="000E4EB8">
      <w:pPr>
        <w:ind w:left="72" w:firstLine="709"/>
        <w:jc w:val="right"/>
        <w:rPr>
          <w:b/>
          <w:bCs/>
          <w:szCs w:val="20"/>
        </w:rPr>
      </w:pPr>
      <w:r w:rsidRPr="00F652E4">
        <w:rPr>
          <w:b/>
          <w:bCs/>
          <w:szCs w:val="20"/>
        </w:rPr>
        <w:t xml:space="preserve">социально-экономического развития Удмуртской Республики </w:t>
      </w:r>
    </w:p>
    <w:p w:rsidR="000E4EB8" w:rsidRPr="00F652E4" w:rsidRDefault="000E4EB8" w:rsidP="000E4EB8">
      <w:pPr>
        <w:jc w:val="right"/>
        <w:rPr>
          <w:b/>
          <w:bCs/>
          <w:szCs w:val="20"/>
        </w:rPr>
      </w:pPr>
      <w:r w:rsidRPr="00F652E4">
        <w:rPr>
          <w:b/>
          <w:bCs/>
          <w:szCs w:val="20"/>
        </w:rPr>
        <w:t>_____________________________________________________________________________</w:t>
      </w:r>
    </w:p>
    <w:p w:rsidR="000E4EB8" w:rsidRPr="00F652E4" w:rsidRDefault="000E4EB8" w:rsidP="000E4EB8">
      <w:pPr>
        <w:ind w:left="72" w:firstLine="720"/>
        <w:jc w:val="both"/>
      </w:pPr>
    </w:p>
    <w:p w:rsidR="000E4EB8" w:rsidRPr="00F652E4" w:rsidRDefault="000E4EB8" w:rsidP="000E4EB8">
      <w:pPr>
        <w:pStyle w:val="2"/>
        <w:spacing w:line="240" w:lineRule="auto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 w:rsidRPr="00F652E4">
        <w:rPr>
          <w:rStyle w:val="a4"/>
          <w:rFonts w:ascii="Times New Roman" w:hAnsi="Times New Roman"/>
          <w:b w:val="0"/>
          <w:i w:val="0"/>
          <w:color w:val="auto"/>
          <w:sz w:val="24"/>
          <w:szCs w:val="24"/>
        </w:rPr>
        <w:t>ВАЛОВЫЙ РЕГИОНАЛЬНЫЙ ПРОДУКТ: УМЕРЕННЫЙ РОСТ</w:t>
      </w:r>
    </w:p>
    <w:p w:rsidR="000E4EB8" w:rsidRPr="00F652E4" w:rsidRDefault="000E4EB8" w:rsidP="000E4E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652E4">
        <w:rPr>
          <w:bCs/>
        </w:rPr>
        <w:t>По оценке Министерства экономики Удмуртской Республики, объём валового регионального продукта в 2022 году составит 909,8 млрд рублей, или 100,2 % к уровню 2021 года.</w:t>
      </w:r>
    </w:p>
    <w:p w:rsidR="000E4EB8" w:rsidRPr="00F652E4" w:rsidRDefault="000E4EB8" w:rsidP="000E4E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652E4">
        <w:rPr>
          <w:bCs/>
        </w:rPr>
        <w:t>В 2023 - 2025 годах ожидается умеренный рост ВРП на уровне 100,8-101,9%, основанный на расширении внутреннего спроса как потребительского, так и инвестиционного.</w:t>
      </w:r>
    </w:p>
    <w:p w:rsidR="000E4EB8" w:rsidRPr="00F652E4" w:rsidRDefault="000E4EB8" w:rsidP="000E4EB8">
      <w:pPr>
        <w:autoSpaceDE w:val="0"/>
        <w:autoSpaceDN w:val="0"/>
        <w:adjustRightInd w:val="0"/>
        <w:spacing w:after="240"/>
        <w:ind w:firstLine="709"/>
        <w:jc w:val="both"/>
        <w:rPr>
          <w:bCs/>
          <w:i/>
        </w:rPr>
      </w:pPr>
      <w:r w:rsidRPr="00F652E4">
        <w:rPr>
          <w:bCs/>
          <w:i/>
          <w:u w:val="single"/>
        </w:rPr>
        <w:t>Для справки:</w:t>
      </w:r>
      <w:r w:rsidRPr="00F652E4">
        <w:rPr>
          <w:bCs/>
          <w:i/>
        </w:rPr>
        <w:t xml:space="preserve"> По Российской Федерации в 2022 и в 2023 годах ожидается снижение роста валового внутреннего продукта, связанного с санкциями на российский экспорт, ограничениями импортных поставок и нарушениями производственно-логистических цепочек. Вместе с тем, с учётом реализации мер экономической политики, направленных на содействие адаптации экономики к новым условиям в 2024–2025 годах прогнозируется рост ВВП на уровне 2,6% в год.</w:t>
      </w:r>
    </w:p>
    <w:p w:rsidR="000E4EB8" w:rsidRPr="00F652E4" w:rsidRDefault="000E4EB8" w:rsidP="000E4EB8">
      <w:pPr>
        <w:autoSpaceDE w:val="0"/>
        <w:autoSpaceDN w:val="0"/>
        <w:adjustRightInd w:val="0"/>
        <w:ind w:firstLine="708"/>
        <w:jc w:val="both"/>
        <w:rPr>
          <w:bCs/>
          <w:i/>
        </w:rPr>
      </w:pPr>
      <w:r w:rsidRPr="00F652E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83185</wp:posOffset>
            </wp:positionV>
            <wp:extent cx="2731770" cy="2093595"/>
            <wp:effectExtent l="0" t="3810" r="4445" b="0"/>
            <wp:wrapTight wrapText="bothSides">
              <wp:wrapPolygon edited="0">
                <wp:start x="201" y="491"/>
                <wp:lineTo x="201" y="21017"/>
                <wp:lineTo x="21334" y="21017"/>
                <wp:lineTo x="21334" y="491"/>
                <wp:lineTo x="201" y="491"/>
              </wp:wrapPolygon>
            </wp:wrapTight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2E4">
        <w:rPr>
          <w:bCs/>
        </w:rPr>
        <w:t>В большинстве субъектов Приволжского федерального округа в среднесрочной перспективе спрогнозированы умеренные темпы роста ВРП. Наиболее высокие темпы роста ожидаются в Саратовской области (106,1%-107,7%). ВРП менее 100% в 2023 году запланирован в Чувашской Республике, Пермском крае, Оренбургской и Ульяновской областях. Среди 13 субъектов Приволжского федерального округа (нет данных по Республике Мордови</w:t>
      </w:r>
      <w:r w:rsidR="006E3990">
        <w:rPr>
          <w:bCs/>
        </w:rPr>
        <w:t>я</w:t>
      </w:r>
      <w:r w:rsidRPr="00F652E4">
        <w:rPr>
          <w:bCs/>
        </w:rPr>
        <w:t xml:space="preserve">) Удмуртская Республика по этому показателю на 2023 году занимает 6 место вместе с Республикой Татарстан </w:t>
      </w:r>
      <w:r w:rsidRPr="00F652E4">
        <w:rPr>
          <w:bCs/>
          <w:i/>
        </w:rPr>
        <w:t>(см. Приложение 2 к аналитической записке).</w:t>
      </w:r>
    </w:p>
    <w:p w:rsidR="000E4EB8" w:rsidRPr="00F652E4" w:rsidRDefault="000E4EB8" w:rsidP="000E4EB8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0E4EB8" w:rsidRPr="00F652E4" w:rsidRDefault="000E4EB8" w:rsidP="000E4EB8">
      <w:pPr>
        <w:pStyle w:val="2"/>
        <w:spacing w:line="240" w:lineRule="auto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 w:rsidRPr="00F652E4">
        <w:rPr>
          <w:rStyle w:val="a4"/>
          <w:rFonts w:ascii="Times New Roman" w:hAnsi="Times New Roman"/>
          <w:b w:val="0"/>
          <w:i w:val="0"/>
          <w:color w:val="auto"/>
          <w:sz w:val="24"/>
          <w:szCs w:val="24"/>
        </w:rPr>
        <w:t>ИНДЕКС ПОТРЕБИТЕЛЬСКИХ ЦЕН: ДАЛЬНЕЙШЕЕ ВОССТАНОВЛЕНИЕ</w:t>
      </w:r>
    </w:p>
    <w:p w:rsidR="000E4EB8" w:rsidRPr="00F652E4" w:rsidRDefault="000E4EB8" w:rsidP="000E4EB8">
      <w:pPr>
        <w:ind w:firstLine="709"/>
        <w:jc w:val="both"/>
      </w:pPr>
      <w:r w:rsidRPr="00F652E4">
        <w:rPr>
          <w:lang w:eastAsia="en-US"/>
        </w:rPr>
        <w:t xml:space="preserve">Индекс потребительских цен в 2022 году оценивается на уровне 115,7%. </w:t>
      </w:r>
      <w:r w:rsidRPr="00F652E4">
        <w:t>В 2023 году ожидается резкое снижение темпа роста индекса потребительных цен на 7,3 % к 2022 году, с 2024 года снижение будет постепенным на уровне 2,7% - 1,2% в год.</w:t>
      </w:r>
    </w:p>
    <w:p w:rsidR="000E4EB8" w:rsidRPr="00F652E4" w:rsidRDefault="000E4EB8" w:rsidP="000E4EB8">
      <w:pPr>
        <w:ind w:firstLine="709"/>
        <w:jc w:val="both"/>
        <w:rPr>
          <w:i/>
        </w:rPr>
      </w:pPr>
      <w:r w:rsidRPr="00F652E4">
        <w:rPr>
          <w:i/>
          <w:u w:val="single"/>
        </w:rPr>
        <w:t>Для справки</w:t>
      </w:r>
      <w:r w:rsidRPr="00F652E4">
        <w:rPr>
          <w:i/>
        </w:rPr>
        <w:t>: По Российской Федерации по итогам 2023 г. темпы роста потребительских цен ожидаются на уровне 6,0 % (в среднем за год) с учётом продолжения восстановления потребительской активности, умеренного ослабления рубля, а также удорожания потребительского импорта из-за повышенной мировой инфляции и дополнительных транспортно-логистических издержек импортеров.  В 2024–2025 годах инфляция выйдет на целевой уровень Банка России 4,0% г/г (на конец года).</w:t>
      </w:r>
    </w:p>
    <w:p w:rsidR="000E4EB8" w:rsidRPr="00F652E4" w:rsidRDefault="000E4EB8" w:rsidP="000E4EB8">
      <w:pPr>
        <w:pBdr>
          <w:left w:val="single" w:sz="4" w:space="4" w:color="auto"/>
        </w:pBdr>
        <w:shd w:val="clear" w:color="auto" w:fill="FFFFFF"/>
        <w:jc w:val="both"/>
        <w:rPr>
          <w:i/>
          <w:sz w:val="28"/>
          <w:szCs w:val="28"/>
        </w:rPr>
      </w:pPr>
      <w:r w:rsidRPr="00F652E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70485</wp:posOffset>
            </wp:positionV>
            <wp:extent cx="2720340" cy="2073910"/>
            <wp:effectExtent l="3175" t="0" r="635" b="2540"/>
            <wp:wrapTight wrapText="bothSides">
              <wp:wrapPolygon edited="0">
                <wp:start x="202" y="489"/>
                <wp:lineTo x="202" y="21011"/>
                <wp:lineTo x="21333" y="21011"/>
                <wp:lineTo x="21333" y="489"/>
                <wp:lineTo x="202" y="489"/>
              </wp:wrapPolygon>
            </wp:wrapTight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2E4">
        <w:rPr>
          <w:bCs/>
        </w:rPr>
        <w:t>В субъектах Приволжского федерального округа в среднесрочной перспективе спрогнозированы темпы роста в диапазоне 103,9%-109% ВРП, наиболее высокие темпы роста ожидаются в Республике Марий-Эл и Чувашской Республике (в 2023 году - 109%). Среди 13 субъектов Приволжского федерального округа (нет данных по Республике Мордови</w:t>
      </w:r>
      <w:r w:rsidR="006E3990">
        <w:rPr>
          <w:bCs/>
        </w:rPr>
        <w:t>я</w:t>
      </w:r>
      <w:r w:rsidRPr="00F652E4">
        <w:rPr>
          <w:bCs/>
        </w:rPr>
        <w:t xml:space="preserve">) Удмуртская Республика занимает 6 место по этому показателю </w:t>
      </w:r>
      <w:r w:rsidRPr="00F652E4">
        <w:t xml:space="preserve">на 2023 год </w:t>
      </w:r>
      <w:r w:rsidRPr="00F652E4">
        <w:rPr>
          <w:bCs/>
          <w:i/>
        </w:rPr>
        <w:t>(см. Приложение 2 к аналитической записке).</w:t>
      </w:r>
      <w:r w:rsidRPr="00F652E4">
        <w:rPr>
          <w:i/>
          <w:sz w:val="28"/>
          <w:szCs w:val="28"/>
        </w:rPr>
        <w:t xml:space="preserve"> </w:t>
      </w:r>
    </w:p>
    <w:p w:rsidR="000E4EB8" w:rsidRPr="00F652E4" w:rsidRDefault="000E4EB8" w:rsidP="000E4EB8">
      <w:pPr>
        <w:pStyle w:val="2"/>
        <w:spacing w:line="240" w:lineRule="auto"/>
        <w:rPr>
          <w:rStyle w:val="a4"/>
          <w:rFonts w:ascii="Times New Roman" w:hAnsi="Times New Roman"/>
          <w:i w:val="0"/>
          <w:color w:val="auto"/>
          <w:sz w:val="24"/>
        </w:rPr>
      </w:pPr>
    </w:p>
    <w:p w:rsidR="006F1004" w:rsidRDefault="006F1004" w:rsidP="000E4EB8">
      <w:pPr>
        <w:pStyle w:val="2"/>
        <w:spacing w:line="240" w:lineRule="auto"/>
        <w:rPr>
          <w:rStyle w:val="a4"/>
          <w:rFonts w:ascii="Times New Roman" w:hAnsi="Times New Roman"/>
          <w:b w:val="0"/>
          <w:i w:val="0"/>
          <w:sz w:val="24"/>
        </w:rPr>
      </w:pPr>
    </w:p>
    <w:p w:rsidR="000E4EB8" w:rsidRPr="00F652E4" w:rsidRDefault="000E4EB8" w:rsidP="000E4EB8">
      <w:pPr>
        <w:pStyle w:val="2"/>
        <w:spacing w:line="240" w:lineRule="auto"/>
        <w:rPr>
          <w:rFonts w:ascii="Times New Roman" w:hAnsi="Times New Roman"/>
          <w:b/>
          <w:bCs/>
          <w:i w:val="0"/>
          <w:sz w:val="24"/>
        </w:rPr>
      </w:pPr>
      <w:r w:rsidRPr="00F652E4">
        <w:rPr>
          <w:rStyle w:val="a4"/>
          <w:rFonts w:ascii="Times New Roman" w:hAnsi="Times New Roman"/>
          <w:b w:val="0"/>
          <w:i w:val="0"/>
          <w:sz w:val="24"/>
        </w:rPr>
        <w:t xml:space="preserve">ПРОМЫШЛЕННОЕ ПРОИЗВОДСТВО: </w:t>
      </w:r>
      <w:r w:rsidRPr="00F652E4">
        <w:rPr>
          <w:rStyle w:val="a4"/>
          <w:rFonts w:ascii="Times New Roman" w:hAnsi="Times New Roman"/>
          <w:b w:val="0"/>
          <w:i w:val="0"/>
          <w:color w:val="auto"/>
          <w:sz w:val="24"/>
        </w:rPr>
        <w:t>СТАБИЛЬНЫЙ РОСТ</w:t>
      </w:r>
    </w:p>
    <w:p w:rsidR="000E4EB8" w:rsidRPr="00F652E4" w:rsidRDefault="000E4EB8" w:rsidP="000E4E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652E4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3210560</wp:posOffset>
            </wp:positionH>
            <wp:positionV relativeFrom="paragraph">
              <wp:posOffset>601345</wp:posOffset>
            </wp:positionV>
            <wp:extent cx="2754630" cy="2081530"/>
            <wp:effectExtent l="0" t="5080" r="3175" b="0"/>
            <wp:wrapTight wrapText="bothSides">
              <wp:wrapPolygon edited="0">
                <wp:start x="199" y="488"/>
                <wp:lineTo x="199" y="21014"/>
                <wp:lineTo x="21331" y="21014"/>
                <wp:lineTo x="21331" y="488"/>
                <wp:lineTo x="199" y="488"/>
              </wp:wrapPolygon>
            </wp:wrapTight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2E4">
        <w:t xml:space="preserve">Согласно Прогнозу УР в 2022 году темп роста индекса промышленного производства оценивается на уровне 100,9 %, что ниже темпа роста 2021 года на 7,3 % в виду усиленного </w:t>
      </w:r>
      <w:proofErr w:type="spellStart"/>
      <w:r w:rsidRPr="00F652E4">
        <w:t>санкционного</w:t>
      </w:r>
      <w:proofErr w:type="spellEnd"/>
      <w:r w:rsidRPr="00F652E4">
        <w:t xml:space="preserve"> давления западных стран и снижения производства в ряде экспортно-ориентированных отраслей.</w:t>
      </w:r>
    </w:p>
    <w:p w:rsidR="000E4EB8" w:rsidRPr="00F652E4" w:rsidRDefault="000E4EB8" w:rsidP="000E4EB8">
      <w:pPr>
        <w:autoSpaceDE w:val="0"/>
        <w:autoSpaceDN w:val="0"/>
        <w:adjustRightInd w:val="0"/>
        <w:ind w:firstLine="709"/>
        <w:jc w:val="both"/>
      </w:pPr>
      <w:r w:rsidRPr="00F652E4">
        <w:t>В среднесрочной перспективе в 2023-2025 годах темп роста индекса промышленного производства запланирован на уровне 100,2%-100,7%.</w:t>
      </w:r>
    </w:p>
    <w:p w:rsidR="000E4EB8" w:rsidRPr="00F652E4" w:rsidRDefault="000E4EB8" w:rsidP="000E4EB8">
      <w:pPr>
        <w:autoSpaceDE w:val="0"/>
        <w:autoSpaceDN w:val="0"/>
        <w:adjustRightInd w:val="0"/>
        <w:ind w:firstLine="709"/>
        <w:jc w:val="both"/>
      </w:pPr>
      <w:r w:rsidRPr="00F652E4">
        <w:t xml:space="preserve">В результате роста объём отгруженной продукции (работ, услуг) в 2025 году составит </w:t>
      </w:r>
      <w:r w:rsidRPr="00F652E4">
        <w:br/>
        <w:t xml:space="preserve">1 041 742 млрд рублей или 112,9 % к оценке 2022 года в текущих ценах. </w:t>
      </w:r>
    </w:p>
    <w:p w:rsidR="000E4EB8" w:rsidRPr="00F652E4" w:rsidRDefault="000E4EB8" w:rsidP="000E4E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652E4">
        <w:rPr>
          <w:bCs/>
        </w:rPr>
        <w:t>В сравнении с Прогнозом РФ в среднесрочной перспективе индексы промышленного производства в Удмуртии спрогнозированы в 2023 году выше среднероссийских на 1,5%, в 2024-2025 годах ниже среднероссийских на 1,5-1,6%.</w:t>
      </w:r>
    </w:p>
    <w:p w:rsidR="000E4EB8" w:rsidRPr="00F652E4" w:rsidRDefault="000E4EB8" w:rsidP="000E4EB8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F652E4">
        <w:rPr>
          <w:bCs/>
          <w:i/>
          <w:u w:val="single"/>
        </w:rPr>
        <w:t>Для справки:</w:t>
      </w:r>
      <w:r w:rsidRPr="00F652E4">
        <w:rPr>
          <w:bCs/>
          <w:i/>
        </w:rPr>
        <w:t xml:space="preserve"> В целом по Российской Федерации в 2022 году индекс промышленного производства оценивается на уровне 98,2%, в 2023-2025 годах запланирован в диапазоне с 98,7 до 104,2%.</w:t>
      </w:r>
    </w:p>
    <w:p w:rsidR="000E4EB8" w:rsidRPr="00F652E4" w:rsidRDefault="000E4EB8" w:rsidP="000E4EB8">
      <w:pPr>
        <w:ind w:firstLine="709"/>
        <w:jc w:val="both"/>
        <w:rPr>
          <w:i/>
        </w:rPr>
      </w:pPr>
      <w:r w:rsidRPr="00F652E4">
        <w:t>В большинстве субъектов Приволжского федерального округа в среднесрочной перспективе прогнозируются умеренные темпы роста промышленного производства. Наибольший рост ожидается в Самарской области – 105,8% в 2023 году. М</w:t>
      </w:r>
      <w:r w:rsidRPr="00F652E4">
        <w:rPr>
          <w:bCs/>
        </w:rPr>
        <w:t>енее 100% темпы роста промышленного производства ожидаются в 2023 году в Пермском крае, Оренбургской и Ульяновской областях. Среди 13 субъектов Приволжского федерального округа (нет данных по Республике Мордови</w:t>
      </w:r>
      <w:r w:rsidR="006E3990">
        <w:rPr>
          <w:bCs/>
        </w:rPr>
        <w:t>я</w:t>
      </w:r>
      <w:r w:rsidRPr="00F652E4">
        <w:rPr>
          <w:bCs/>
        </w:rPr>
        <w:t>) Удмуртская Республика занимает 8 место по этому показателю</w:t>
      </w:r>
      <w:r w:rsidRPr="00F652E4">
        <w:t xml:space="preserve"> на 2023 год </w:t>
      </w:r>
      <w:r w:rsidRPr="00F652E4">
        <w:rPr>
          <w:bCs/>
          <w:i/>
        </w:rPr>
        <w:t>(см. Приложение 2 к аналитической записке).</w:t>
      </w:r>
    </w:p>
    <w:p w:rsidR="000E4EB8" w:rsidRPr="00F652E4" w:rsidRDefault="000E4EB8" w:rsidP="000E4EB8">
      <w:pPr>
        <w:pStyle w:val="2"/>
        <w:spacing w:after="0" w:line="240" w:lineRule="auto"/>
        <w:rPr>
          <w:rStyle w:val="a4"/>
          <w:rFonts w:ascii="Times New Roman" w:hAnsi="Times New Roman"/>
          <w:color w:val="auto"/>
        </w:rPr>
      </w:pPr>
    </w:p>
    <w:p w:rsidR="000E4EB8" w:rsidRPr="00F652E4" w:rsidRDefault="000E4EB8" w:rsidP="000E4EB8">
      <w:pPr>
        <w:pStyle w:val="2"/>
        <w:spacing w:line="240" w:lineRule="auto"/>
        <w:rPr>
          <w:rStyle w:val="a4"/>
          <w:rFonts w:ascii="Times New Roman" w:hAnsi="Times New Roman"/>
          <w:b w:val="0"/>
          <w:i w:val="0"/>
          <w:color w:val="auto"/>
          <w:sz w:val="24"/>
        </w:rPr>
      </w:pPr>
      <w:r w:rsidRPr="00F652E4">
        <w:rPr>
          <w:rStyle w:val="a4"/>
          <w:rFonts w:ascii="Times New Roman" w:hAnsi="Times New Roman"/>
          <w:b w:val="0"/>
          <w:i w:val="0"/>
          <w:color w:val="auto"/>
          <w:sz w:val="24"/>
        </w:rPr>
        <w:t>ИНВЕСТИЦИИ В ОСНОВНОЙ КАПИТАЛ: УСТОЙЧИВАЯ ДИНАМИКА РОСТА</w:t>
      </w:r>
    </w:p>
    <w:p w:rsidR="000E4EB8" w:rsidRPr="00F652E4" w:rsidRDefault="000E4EB8" w:rsidP="000E4E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652E4">
        <w:t>По итогам 2022 года ожидается увеличение объема инвестиций до 131,2 млрд рублей (100 % к уровню 2021 года в сопоставимых ценах).</w:t>
      </w:r>
    </w:p>
    <w:p w:rsidR="000E4EB8" w:rsidRPr="00F652E4" w:rsidRDefault="000E4EB8" w:rsidP="000E4E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652E4">
        <w:t>В 2023 - 2025 годах темпы роста инвестиций по базовому варианту ожидаются на уровне 102,0%, 104,0%, 104,2%) соответственно. Прогнозируемое значение по объему инвестиций к 2025 году составит 169,5 млрд рублей.</w:t>
      </w:r>
    </w:p>
    <w:p w:rsidR="000E4EB8" w:rsidRPr="00F652E4" w:rsidRDefault="000E4EB8" w:rsidP="000E4EB8">
      <w:pPr>
        <w:pStyle w:val="a3"/>
        <w:spacing w:after="0" w:afterAutospacing="0"/>
        <w:ind w:firstLine="709"/>
        <w:jc w:val="both"/>
        <w:rPr>
          <w:bCs/>
          <w:i/>
        </w:rPr>
      </w:pPr>
      <w:r w:rsidRPr="00F652E4">
        <w:rPr>
          <w:bCs/>
          <w:i/>
          <w:u w:val="single"/>
        </w:rPr>
        <w:t>Для справки</w:t>
      </w:r>
      <w:r w:rsidRPr="00F652E4">
        <w:rPr>
          <w:bCs/>
          <w:i/>
        </w:rPr>
        <w:t>: Прогнозом РФ в 2023 году, как и в 2022 году предусматривается замедление темпов роста инвестиций в основной капитал 98,2-99,0%. В 2024–2025 годах ожидается восстановительный рост на уровне 103,9-103,7%.</w:t>
      </w:r>
    </w:p>
    <w:p w:rsidR="000E4EB8" w:rsidRPr="00F652E4" w:rsidRDefault="000E4EB8" w:rsidP="000E4EB8">
      <w:pPr>
        <w:ind w:firstLine="709"/>
        <w:jc w:val="both"/>
        <w:rPr>
          <w:bCs/>
        </w:rPr>
      </w:pPr>
      <w:r w:rsidRPr="00F652E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102870</wp:posOffset>
            </wp:positionV>
            <wp:extent cx="3067685" cy="2036445"/>
            <wp:effectExtent l="3810" t="0" r="0" b="1905"/>
            <wp:wrapTight wrapText="bothSides">
              <wp:wrapPolygon edited="0">
                <wp:start x="201" y="411"/>
                <wp:lineTo x="201" y="21108"/>
                <wp:lineTo x="21332" y="21108"/>
                <wp:lineTo x="21332" y="411"/>
                <wp:lineTo x="201" y="411"/>
              </wp:wrapPolygon>
            </wp:wrapTight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2E4">
        <w:rPr>
          <w:bCs/>
        </w:rPr>
        <w:t>Таким образом, индекс физического объема инвестиций в основной капитал в сопоставимых ценах по Удмуртии выше среднероссийского прогноза на 2 % в 2022 году, на 3 % в 2023 году, на 0,1 % в 2024 году, на 0,5% в 2025 году.</w:t>
      </w:r>
    </w:p>
    <w:p w:rsidR="000E4EB8" w:rsidRPr="00F652E4" w:rsidRDefault="000E4EB8" w:rsidP="000E4EB8">
      <w:pPr>
        <w:ind w:firstLine="709"/>
        <w:jc w:val="both"/>
        <w:rPr>
          <w:i/>
        </w:rPr>
      </w:pPr>
      <w:r w:rsidRPr="00F652E4">
        <w:rPr>
          <w:bCs/>
        </w:rPr>
        <w:t>В большинстве субъектов Приволжского федерального округа в среднесрочной перспективе ожидается устойчивая динамика роста инвестиций в основной капитал. Более высокие темпы роста инвестиций спрогнозированы в Саратовской области (105,6%-108,7%), в Пермском крае (109,9% в 2024 году). При этом отмечается резкое падение темпов роста инвестиций в Пермском крае (в 2023 году – 78,5% и 2025 году – 90,1%) и Оренбургской области (в 2023 году - 95,8%).  Среди 11 субъектов Приволжского федерального округа (нет данных по Республике Мордови</w:t>
      </w:r>
      <w:r w:rsidR="006E3990">
        <w:rPr>
          <w:bCs/>
        </w:rPr>
        <w:t>я</w:t>
      </w:r>
      <w:r w:rsidRPr="00F652E4">
        <w:rPr>
          <w:bCs/>
        </w:rPr>
        <w:t xml:space="preserve">, Нижегородской и Ульяновской областей) Удмуртская Республика занимает 3 место по этому показателю на 2023 год </w:t>
      </w:r>
      <w:r w:rsidRPr="00F652E4">
        <w:rPr>
          <w:bCs/>
          <w:i/>
        </w:rPr>
        <w:t>(см. Приложение 2 к аналитической записке).</w:t>
      </w:r>
    </w:p>
    <w:p w:rsidR="000E4EB8" w:rsidRPr="00F652E4" w:rsidRDefault="000E4EB8" w:rsidP="000E4EB8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0E4EB8" w:rsidRPr="00F652E4" w:rsidRDefault="000E4EB8" w:rsidP="000E4EB8">
      <w:pPr>
        <w:autoSpaceDE w:val="0"/>
        <w:autoSpaceDN w:val="0"/>
        <w:adjustRightInd w:val="0"/>
        <w:jc w:val="both"/>
        <w:rPr>
          <w:bCs/>
        </w:rPr>
      </w:pPr>
      <w:r w:rsidRPr="00F652E4">
        <w:rPr>
          <w:bCs/>
        </w:rPr>
        <w:t>СЕЛЬСКОЕ ХОЗЯЙСТВО: СТАБИЛЬНЫЙ РОСТ</w:t>
      </w:r>
    </w:p>
    <w:p w:rsidR="000E4EB8" w:rsidRPr="00F652E4" w:rsidRDefault="000E4EB8" w:rsidP="000E4EB8">
      <w:pPr>
        <w:autoSpaceDE w:val="0"/>
        <w:autoSpaceDN w:val="0"/>
        <w:adjustRightInd w:val="0"/>
        <w:jc w:val="both"/>
        <w:rPr>
          <w:bCs/>
          <w:i/>
        </w:rPr>
      </w:pPr>
    </w:p>
    <w:p w:rsidR="000E4EB8" w:rsidRPr="00F652E4" w:rsidRDefault="000E4EB8" w:rsidP="000E4EB8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2E4">
        <w:rPr>
          <w:rFonts w:ascii="Times New Roman" w:hAnsi="Times New Roman" w:cs="Times New Roman"/>
          <w:bCs/>
          <w:sz w:val="24"/>
          <w:szCs w:val="24"/>
        </w:rPr>
        <w:t xml:space="preserve">По предварительной оценке в 2022 году ожидается прирост производства продукции сельского хозяйства на 2,5 % в сопоставимой оценке, выпуск продукции </w:t>
      </w:r>
      <w:proofErr w:type="spellStart"/>
      <w:r w:rsidRPr="00F652E4">
        <w:rPr>
          <w:rFonts w:ascii="Times New Roman" w:hAnsi="Times New Roman" w:cs="Times New Roman"/>
          <w:bCs/>
          <w:sz w:val="24"/>
          <w:szCs w:val="24"/>
        </w:rPr>
        <w:t>сельхозтоваро</w:t>
      </w:r>
      <w:proofErr w:type="spellEnd"/>
      <w:r w:rsidR="00F652E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652E4">
        <w:rPr>
          <w:rFonts w:ascii="Times New Roman" w:hAnsi="Times New Roman" w:cs="Times New Roman"/>
          <w:bCs/>
          <w:sz w:val="24"/>
          <w:szCs w:val="24"/>
        </w:rPr>
        <w:t>производителями составит 84,7 млрд рублей.</w:t>
      </w:r>
    </w:p>
    <w:p w:rsidR="000E4EB8" w:rsidRPr="00F652E4" w:rsidRDefault="000E4EB8" w:rsidP="000E4EB8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2E4">
        <w:rPr>
          <w:rFonts w:ascii="Times New Roman" w:hAnsi="Times New Roman" w:cs="Times New Roman"/>
          <w:bCs/>
          <w:sz w:val="24"/>
          <w:szCs w:val="24"/>
        </w:rPr>
        <w:t>В период 2023 - 2025 годов по базовому варианту прогноза ожидается стабильный рост производства продукции сельского хозяйства на уровне 102,4%-103,2%.</w:t>
      </w:r>
    </w:p>
    <w:p w:rsidR="000E4EB8" w:rsidRPr="00F652E4" w:rsidRDefault="000E4EB8" w:rsidP="000E4EB8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652E4">
        <w:rPr>
          <w:rFonts w:ascii="Times New Roman" w:hAnsi="Times New Roman" w:cs="Times New Roman"/>
          <w:bCs/>
          <w:i/>
          <w:sz w:val="24"/>
          <w:szCs w:val="24"/>
          <w:u w:val="single"/>
        </w:rPr>
        <w:t>Для справки:</w:t>
      </w:r>
      <w:r w:rsidRPr="00F652E4">
        <w:rPr>
          <w:rFonts w:ascii="Times New Roman" w:hAnsi="Times New Roman" w:cs="Times New Roman"/>
          <w:bCs/>
          <w:i/>
          <w:sz w:val="24"/>
          <w:szCs w:val="24"/>
        </w:rPr>
        <w:t xml:space="preserve"> В среднем по Российской Федерации темпы роста продукции сельского хозяйства в базовом варианте на 2023-2025 годы спрогнозированы на уровне 101,6%-101,7%.</w:t>
      </w:r>
    </w:p>
    <w:p w:rsidR="000E4EB8" w:rsidRPr="00F652E4" w:rsidRDefault="000E4EB8" w:rsidP="000E4EB8">
      <w:pPr>
        <w:shd w:val="clear" w:color="auto" w:fill="FFFFFF"/>
        <w:ind w:firstLine="708"/>
        <w:jc w:val="both"/>
        <w:rPr>
          <w:i/>
        </w:rPr>
      </w:pPr>
      <w:r w:rsidRPr="00F652E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3917315</wp:posOffset>
            </wp:positionH>
            <wp:positionV relativeFrom="paragraph">
              <wp:posOffset>149225</wp:posOffset>
            </wp:positionV>
            <wp:extent cx="3116580" cy="1860550"/>
            <wp:effectExtent l="2540" t="0" r="0" b="2540"/>
            <wp:wrapTight wrapText="bothSides">
              <wp:wrapPolygon edited="0">
                <wp:start x="167" y="450"/>
                <wp:lineTo x="167" y="21062"/>
                <wp:lineTo x="21376" y="21062"/>
                <wp:lineTo x="21376" y="450"/>
                <wp:lineTo x="167" y="450"/>
              </wp:wrapPolygon>
            </wp:wrapTight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2E4">
        <w:rPr>
          <w:bCs/>
        </w:rPr>
        <w:t xml:space="preserve">В большинстве субъектов Приволжского федерального округа, в среднесрочной перспективе </w:t>
      </w:r>
      <w:r w:rsidRPr="00F652E4">
        <w:t>в соответствии с базовыми вариантами прогнозов</w:t>
      </w:r>
      <w:r w:rsidRPr="00F652E4">
        <w:rPr>
          <w:bCs/>
        </w:rPr>
        <w:t xml:space="preserve"> ожидаются умеренные темпы роста объёма продукции сельского хозяйства в районе 100,1% - 103,7%. </w:t>
      </w:r>
      <w:r w:rsidRPr="00F652E4">
        <w:t>Максимальный среднегодовой темп роста ожидается</w:t>
      </w:r>
      <w:r w:rsidRPr="00F652E4">
        <w:rPr>
          <w:sz w:val="28"/>
          <w:szCs w:val="28"/>
        </w:rPr>
        <w:t xml:space="preserve"> </w:t>
      </w:r>
      <w:r w:rsidRPr="00F652E4">
        <w:t xml:space="preserve">в Чувашской Республике (103,4-104%), в Оренбургской области (103,6-103,7%). Падение темпа роста отмечается в Самарской области (в 2023 году – 91 %). </w:t>
      </w:r>
      <w:r w:rsidRPr="00F652E4">
        <w:rPr>
          <w:bCs/>
        </w:rPr>
        <w:t>Среди 12 субъектов Приволжского федерального округа (нет данных по Республике Мордови</w:t>
      </w:r>
      <w:r w:rsidR="006E3990">
        <w:rPr>
          <w:bCs/>
        </w:rPr>
        <w:t>я</w:t>
      </w:r>
      <w:r w:rsidRPr="00F652E4">
        <w:rPr>
          <w:bCs/>
        </w:rPr>
        <w:t xml:space="preserve"> и Ульяновской области) Удмуртская Республика занимает 4 место по этому показателю на 2023 год </w:t>
      </w:r>
      <w:r w:rsidRPr="00F652E4">
        <w:rPr>
          <w:bCs/>
          <w:i/>
        </w:rPr>
        <w:t>(см. Приложение 2 к аналитической записке).</w:t>
      </w:r>
    </w:p>
    <w:p w:rsidR="000E4EB8" w:rsidRPr="00F652E4" w:rsidRDefault="000E4EB8" w:rsidP="000E4EB8">
      <w:pPr>
        <w:ind w:firstLine="708"/>
        <w:jc w:val="both"/>
        <w:rPr>
          <w:color w:val="FF0000"/>
        </w:rPr>
      </w:pPr>
    </w:p>
    <w:p w:rsidR="000E4EB8" w:rsidRPr="00F652E4" w:rsidRDefault="000E4EB8" w:rsidP="000E4EB8">
      <w:pPr>
        <w:tabs>
          <w:tab w:val="left" w:pos="1750"/>
        </w:tabs>
        <w:jc w:val="both"/>
        <w:rPr>
          <w:sz w:val="28"/>
          <w:szCs w:val="28"/>
        </w:rPr>
      </w:pPr>
      <w:r w:rsidRPr="00F652E4">
        <w:rPr>
          <w:rStyle w:val="a4"/>
          <w:b w:val="0"/>
        </w:rPr>
        <w:t>СТРОИТЕЛЬСТВО:</w:t>
      </w:r>
      <w:r w:rsidRPr="00F652E4">
        <w:rPr>
          <w:sz w:val="28"/>
          <w:szCs w:val="28"/>
        </w:rPr>
        <w:t xml:space="preserve"> </w:t>
      </w:r>
      <w:r w:rsidRPr="00F652E4">
        <w:t>УМЕРЕННЫЙ РОСТ</w:t>
      </w:r>
    </w:p>
    <w:p w:rsidR="000E4EB8" w:rsidRPr="00F652E4" w:rsidRDefault="000E4EB8" w:rsidP="000E4EB8">
      <w:pPr>
        <w:shd w:val="clear" w:color="auto" w:fill="FFFFFF"/>
        <w:jc w:val="both"/>
      </w:pPr>
    </w:p>
    <w:p w:rsidR="000E4EB8" w:rsidRPr="00F652E4" w:rsidRDefault="000E4EB8" w:rsidP="000E4EB8">
      <w:pPr>
        <w:pStyle w:val="2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2E4">
        <w:rPr>
          <w:rFonts w:ascii="Times New Roman" w:hAnsi="Times New Roman" w:cs="Times New Roman"/>
          <w:bCs/>
          <w:sz w:val="24"/>
          <w:szCs w:val="24"/>
        </w:rPr>
        <w:t xml:space="preserve">Ожидается, что общий объём работ </w:t>
      </w:r>
      <w:r w:rsidRPr="00F652E4">
        <w:rPr>
          <w:rFonts w:ascii="Times New Roman" w:hAnsi="Times New Roman" w:cs="Times New Roman"/>
          <w:sz w:val="24"/>
          <w:szCs w:val="24"/>
        </w:rPr>
        <w:t>по виду деятельности</w:t>
      </w:r>
      <w:r w:rsidRPr="00F652E4">
        <w:rPr>
          <w:rStyle w:val="a4"/>
          <w:rFonts w:ascii="Times New Roman" w:hAnsi="Times New Roman" w:cs="Times New Roman"/>
          <w:b w:val="0"/>
          <w:i/>
        </w:rPr>
        <w:t xml:space="preserve"> </w:t>
      </w:r>
      <w:r w:rsidRPr="00F652E4">
        <w:rPr>
          <w:rFonts w:ascii="Times New Roman" w:hAnsi="Times New Roman" w:cs="Times New Roman"/>
          <w:bCs/>
          <w:sz w:val="24"/>
          <w:szCs w:val="24"/>
        </w:rPr>
        <w:t xml:space="preserve">«Строительство» в 2022 году составит 68,8 млрд рублей, темп рост в сопоставимой оценке – 100,5%. </w:t>
      </w:r>
    </w:p>
    <w:p w:rsidR="000E4EB8" w:rsidRPr="00F652E4" w:rsidRDefault="000E4EB8" w:rsidP="000E4EB8">
      <w:pPr>
        <w:pStyle w:val="2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2E4">
        <w:rPr>
          <w:rFonts w:ascii="Times New Roman" w:hAnsi="Times New Roman" w:cs="Times New Roman"/>
          <w:bCs/>
          <w:sz w:val="24"/>
          <w:szCs w:val="24"/>
        </w:rPr>
        <w:t xml:space="preserve">В прогнозном периоде 2023-2025 годах при росте объёмов строительства и увеличении инвестиционной активности ожидается положительная динамика 102,0% - 102,3 % в соответствии с базовым вариантом прогноза. </w:t>
      </w:r>
    </w:p>
    <w:p w:rsidR="000E4EB8" w:rsidRPr="00F652E4" w:rsidRDefault="000E4EB8" w:rsidP="000E4EB8">
      <w:pPr>
        <w:ind w:firstLine="709"/>
        <w:jc w:val="both"/>
        <w:rPr>
          <w:bCs/>
          <w:i/>
        </w:rPr>
      </w:pPr>
      <w:r w:rsidRPr="00F652E4">
        <w:rPr>
          <w:bCs/>
        </w:rPr>
        <w:t xml:space="preserve">Во всех субъектах Приволжского федерального округа, кроме </w:t>
      </w:r>
      <w:r w:rsidRPr="00F652E4">
        <w:rPr>
          <w:rStyle w:val="a4"/>
          <w:b w:val="0"/>
        </w:rPr>
        <w:t xml:space="preserve">Саратовской области, ожидается умеренный рост по виду деятельности «Строительство». Наибольшие темпы роста в 2023-2025 годах прогнозируется в Ульяновской области (105%) и Самарской области (105,1-106,2%). Не ожидается роста в Саратовской области (95,8%-98,3%). В остальных субъектах Приволжского федерального округа темпы роста варьируются от 100 % до 103,5%. </w:t>
      </w:r>
      <w:r w:rsidRPr="00F652E4">
        <w:rPr>
          <w:bCs/>
        </w:rPr>
        <w:t>Среди 10 субъектов Приволжского федерального округа (нет данных по Республике Мордови</w:t>
      </w:r>
      <w:r w:rsidR="006E3990">
        <w:rPr>
          <w:bCs/>
        </w:rPr>
        <w:t>я</w:t>
      </w:r>
      <w:r w:rsidRPr="00F652E4">
        <w:rPr>
          <w:bCs/>
        </w:rPr>
        <w:t>, Пермском краю, Оренбургской и Ульяновской областям) Удмуртская Республика занимает 3 место по этому показателю на 2023</w:t>
      </w:r>
      <w:r w:rsidR="00F652E4" w:rsidRPr="00F652E4">
        <w:rPr>
          <w:bCs/>
        </w:rPr>
        <w:t xml:space="preserve"> год.</w:t>
      </w:r>
    </w:p>
    <w:p w:rsidR="000E4EB8" w:rsidRPr="00F652E4" w:rsidRDefault="000E4EB8" w:rsidP="000E4EB8">
      <w:pPr>
        <w:pStyle w:val="21"/>
        <w:shd w:val="clear" w:color="auto" w:fill="auto"/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F652E4">
        <w:rPr>
          <w:rFonts w:ascii="Times New Roman" w:hAnsi="Times New Roman" w:cs="Times New Roman"/>
          <w:bCs/>
          <w:i/>
        </w:rPr>
        <w:tab/>
      </w:r>
      <w:r w:rsidRPr="00F652E4">
        <w:rPr>
          <w:rFonts w:ascii="Times New Roman" w:hAnsi="Times New Roman" w:cs="Times New Roman"/>
        </w:rPr>
        <w:t>В 2023 - 2025 годах ежегодный ввод жилья в эксплуатацию по базовому варианту прогнозируется на уровне 950 тыс. кв. метров.</w:t>
      </w:r>
    </w:p>
    <w:p w:rsidR="000E4EB8" w:rsidRPr="00F652E4" w:rsidRDefault="000E4EB8" w:rsidP="000E4EB8">
      <w:pPr>
        <w:ind w:firstLine="709"/>
        <w:jc w:val="both"/>
        <w:rPr>
          <w:bCs/>
          <w:i/>
        </w:rPr>
      </w:pPr>
      <w:r w:rsidRPr="00F652E4">
        <w:rPr>
          <w:bCs/>
        </w:rPr>
        <w:t>Среди 13 субъектов Приволжского федерального округа (нет данных по Республике Мордови</w:t>
      </w:r>
      <w:r w:rsidR="006E3990">
        <w:rPr>
          <w:bCs/>
        </w:rPr>
        <w:t>я</w:t>
      </w:r>
      <w:r w:rsidRPr="00F652E4">
        <w:rPr>
          <w:bCs/>
        </w:rPr>
        <w:t xml:space="preserve">) Удмуртская Республика занимает 8 место на 2023 год по объёму ввода жилья и 13 место по темпу роста ввода жилья, что является самым низким показателем по ПФО </w:t>
      </w:r>
      <w:r w:rsidRPr="00F652E4">
        <w:rPr>
          <w:bCs/>
          <w:i/>
        </w:rPr>
        <w:t>(см. Приложение 2 к аналитической записке).</w:t>
      </w:r>
    </w:p>
    <w:p w:rsidR="000E4EB8" w:rsidRPr="00F652E4" w:rsidRDefault="000E4EB8" w:rsidP="000E4EB8">
      <w:pPr>
        <w:shd w:val="clear" w:color="auto" w:fill="FFFFFF"/>
        <w:ind w:firstLine="708"/>
        <w:jc w:val="both"/>
      </w:pPr>
    </w:p>
    <w:p w:rsidR="000E4EB8" w:rsidRPr="00F652E4" w:rsidRDefault="000E4EB8" w:rsidP="000E4EB8">
      <w:pPr>
        <w:jc w:val="both"/>
        <w:rPr>
          <w:rStyle w:val="a4"/>
          <w:b w:val="0"/>
        </w:rPr>
      </w:pPr>
      <w:r w:rsidRPr="00F652E4">
        <w:rPr>
          <w:rStyle w:val="a4"/>
          <w:b w:val="0"/>
        </w:rPr>
        <w:t>ОБОРОТ РОЗНИЧНОЙ ТОРГОВЛИ: ВОССТАНОВИТЕЛЬНЫЙ РОСТ</w:t>
      </w:r>
    </w:p>
    <w:p w:rsidR="000E4EB8" w:rsidRPr="00F652E4" w:rsidRDefault="000E4EB8" w:rsidP="000E4EB8">
      <w:pPr>
        <w:jc w:val="both"/>
        <w:rPr>
          <w:rStyle w:val="a4"/>
          <w:b w:val="0"/>
          <w:i/>
        </w:rPr>
      </w:pPr>
    </w:p>
    <w:p w:rsidR="000E4EB8" w:rsidRPr="00F652E4" w:rsidRDefault="000E4EB8" w:rsidP="000E4EB8">
      <w:pPr>
        <w:pStyle w:val="2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2E4">
        <w:rPr>
          <w:rFonts w:ascii="Times New Roman" w:hAnsi="Times New Roman" w:cs="Times New Roman"/>
          <w:sz w:val="24"/>
          <w:szCs w:val="24"/>
        </w:rPr>
        <w:t xml:space="preserve">Объём розничной торговли в 2022 году, по оценке, снизится на 1,0% и составит 298,1 млрд рублей. </w:t>
      </w:r>
    </w:p>
    <w:p w:rsidR="000E4EB8" w:rsidRPr="00F652E4" w:rsidRDefault="000E4EB8" w:rsidP="000E4EB8">
      <w:pPr>
        <w:pStyle w:val="2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2E4">
        <w:rPr>
          <w:rFonts w:ascii="Times New Roman" w:hAnsi="Times New Roman" w:cs="Times New Roman"/>
          <w:bCs/>
          <w:sz w:val="24"/>
          <w:szCs w:val="24"/>
        </w:rPr>
        <w:t>По базовому варианту прогноза индекс оборот розничной торговли в сопоставимых ценах 2023 - 2025 годах сохранится на уровне 101,0 % - 102,6 % и увеличится до 369,9 млрд рублей в 2025 году.</w:t>
      </w:r>
    </w:p>
    <w:p w:rsidR="000E4EB8" w:rsidRPr="00F652E4" w:rsidRDefault="000E4EB8" w:rsidP="000E4EB8">
      <w:pPr>
        <w:ind w:firstLine="708"/>
        <w:jc w:val="both"/>
        <w:rPr>
          <w:bCs/>
        </w:rPr>
      </w:pPr>
      <w:r w:rsidRPr="00F652E4">
        <w:rPr>
          <w:bCs/>
        </w:rPr>
        <w:t xml:space="preserve">В сравнении с Прогнозом РФ индекс оборота </w:t>
      </w:r>
      <w:r w:rsidRPr="00F652E4">
        <w:rPr>
          <w:rStyle w:val="a4"/>
          <w:b w:val="0"/>
        </w:rPr>
        <w:t>розничной торговли</w:t>
      </w:r>
      <w:r w:rsidRPr="00F652E4">
        <w:rPr>
          <w:bCs/>
        </w:rPr>
        <w:t xml:space="preserve"> в Удмуртской Республике на 2023-2025 годы составляет ниже на 1,7%-0,5%.</w:t>
      </w:r>
    </w:p>
    <w:p w:rsidR="000E4EB8" w:rsidRPr="00F652E4" w:rsidRDefault="000E4EB8" w:rsidP="000E4EB8">
      <w:pPr>
        <w:ind w:firstLine="708"/>
        <w:jc w:val="both"/>
        <w:rPr>
          <w:bCs/>
          <w:i/>
        </w:rPr>
      </w:pPr>
      <w:r w:rsidRPr="00F652E4">
        <w:rPr>
          <w:bCs/>
          <w:i/>
        </w:rPr>
        <w:t>Для справки: В среднем по Российской Федерации индекс оборота розничной торговли в базовом варианте в 2023-2025 году спрогнозированы на уровне 102,5-103,8%.</w:t>
      </w:r>
    </w:p>
    <w:p w:rsidR="000E4EB8" w:rsidRPr="00F652E4" w:rsidRDefault="000E4EB8" w:rsidP="000E4EB8">
      <w:pPr>
        <w:shd w:val="clear" w:color="auto" w:fill="FFFFFF"/>
        <w:ind w:firstLine="709"/>
        <w:jc w:val="both"/>
        <w:rPr>
          <w:bCs/>
        </w:rPr>
      </w:pPr>
      <w:r w:rsidRPr="00F652E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66040</wp:posOffset>
            </wp:positionV>
            <wp:extent cx="3194685" cy="2058035"/>
            <wp:effectExtent l="0" t="0" r="0" b="1270"/>
            <wp:wrapTight wrapText="bothSides">
              <wp:wrapPolygon edited="0">
                <wp:start x="167" y="420"/>
                <wp:lineTo x="167" y="21100"/>
                <wp:lineTo x="21321" y="21100"/>
                <wp:lineTo x="21321" y="420"/>
                <wp:lineTo x="167" y="420"/>
              </wp:wrapPolygon>
            </wp:wrapTight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2E4">
        <w:rPr>
          <w:bCs/>
        </w:rPr>
        <w:t xml:space="preserve">В субъектах Приволжского федерального округа в среднесрочной перспективе ожидаются восстановительные индекс оборота розничного товарооборота </w:t>
      </w:r>
      <w:r w:rsidRPr="00F652E4">
        <w:rPr>
          <w:rStyle w:val="a4"/>
          <w:b w:val="0"/>
        </w:rPr>
        <w:t>101%-106%</w:t>
      </w:r>
      <w:r w:rsidRPr="00F652E4">
        <w:rPr>
          <w:bCs/>
        </w:rPr>
        <w:t xml:space="preserve">. Максимальное значение прогнозируется в Нижегородской области (106% в 2024 году) и в Саратовской области (105,3% в 2024 году). </w:t>
      </w:r>
    </w:p>
    <w:p w:rsidR="000E4EB8" w:rsidRPr="00F652E4" w:rsidRDefault="000E4EB8" w:rsidP="000E4EB8">
      <w:pPr>
        <w:ind w:firstLine="709"/>
        <w:jc w:val="both"/>
        <w:rPr>
          <w:bCs/>
          <w:i/>
        </w:rPr>
      </w:pPr>
      <w:r w:rsidRPr="00F652E4">
        <w:rPr>
          <w:bCs/>
        </w:rPr>
        <w:t>Среди 11 субъектов Приволжского федерального округа (нет данных по Республике Мордови</w:t>
      </w:r>
      <w:r w:rsidR="006E3990">
        <w:rPr>
          <w:bCs/>
        </w:rPr>
        <w:t>я</w:t>
      </w:r>
      <w:r w:rsidRPr="00F652E4">
        <w:rPr>
          <w:bCs/>
        </w:rPr>
        <w:t xml:space="preserve">, Пермскому краю, Ульяновской области) Удмуртская Республика занимает 5 место по этому показателю на 2023 год </w:t>
      </w:r>
      <w:r w:rsidRPr="00F652E4">
        <w:rPr>
          <w:bCs/>
          <w:i/>
        </w:rPr>
        <w:t>(см. Приложение 2 к аналитической записке).</w:t>
      </w:r>
    </w:p>
    <w:p w:rsidR="000E4EB8" w:rsidRPr="00F652E4" w:rsidRDefault="000E4EB8" w:rsidP="000E4EB8">
      <w:pPr>
        <w:ind w:firstLine="709"/>
        <w:jc w:val="both"/>
        <w:rPr>
          <w:rStyle w:val="a4"/>
          <w:b w:val="0"/>
          <w:i/>
        </w:rPr>
      </w:pPr>
    </w:p>
    <w:p w:rsidR="000E4EB8" w:rsidRPr="00F652E4" w:rsidRDefault="000E4EB8" w:rsidP="000E4EB8">
      <w:pPr>
        <w:jc w:val="both"/>
        <w:rPr>
          <w:rStyle w:val="a4"/>
          <w:b w:val="0"/>
        </w:rPr>
      </w:pPr>
      <w:r w:rsidRPr="00F652E4">
        <w:rPr>
          <w:rStyle w:val="a4"/>
          <w:b w:val="0"/>
        </w:rPr>
        <w:t>УРОВЕНЬ ЖИЗНИ И ДОХОДЫ НАСЕЛЕНИЯ: УСТОЙЧИВАЯ ДИНАМИКА РОСТА РЕАЛЬНЫХ ДОХОДОВ НАСЕЛЕНИЯ</w:t>
      </w:r>
    </w:p>
    <w:p w:rsidR="000E4EB8" w:rsidRPr="00F652E4" w:rsidRDefault="000E4EB8" w:rsidP="000E4EB8">
      <w:pPr>
        <w:ind w:firstLine="709"/>
        <w:jc w:val="both"/>
        <w:rPr>
          <w:rStyle w:val="a4"/>
          <w:b w:val="0"/>
          <w:i/>
        </w:rPr>
      </w:pPr>
    </w:p>
    <w:p w:rsidR="000E4EB8" w:rsidRPr="00F652E4" w:rsidRDefault="000E4EB8" w:rsidP="000E4EB8">
      <w:pPr>
        <w:ind w:firstLine="708"/>
        <w:jc w:val="both"/>
        <w:rPr>
          <w:rStyle w:val="a4"/>
          <w:b w:val="0"/>
          <w:color w:val="FF0000"/>
        </w:rPr>
      </w:pPr>
      <w:r w:rsidRPr="00F652E4">
        <w:rPr>
          <w:rStyle w:val="a4"/>
          <w:b w:val="0"/>
        </w:rPr>
        <w:t>По оценке, в 2022 году номинальная начисленная среднемесячная заработная плата работников организаций в Удмуртии составит 44 566 рублей, темп роста к 2021 году 112%.</w:t>
      </w:r>
      <w:r w:rsidRPr="00F652E4">
        <w:rPr>
          <w:rStyle w:val="a4"/>
          <w:b w:val="0"/>
          <w:color w:val="FF0000"/>
        </w:rPr>
        <w:t xml:space="preserve"> </w:t>
      </w:r>
    </w:p>
    <w:p w:rsidR="000E4EB8" w:rsidRPr="00F652E4" w:rsidRDefault="000E4EB8" w:rsidP="000E4EB8">
      <w:pPr>
        <w:ind w:firstLine="708"/>
        <w:jc w:val="both"/>
        <w:rPr>
          <w:rStyle w:val="a4"/>
          <w:b w:val="0"/>
        </w:rPr>
      </w:pPr>
      <w:r w:rsidRPr="00F652E4">
        <w:rPr>
          <w:rStyle w:val="a4"/>
          <w:b w:val="0"/>
        </w:rPr>
        <w:t>По базовому варианту прогноза в среднесрочной перспективе темпы роста заработной платы будут также высокими 108-106,5 %.</w:t>
      </w:r>
      <w:r w:rsidRPr="00F652E4">
        <w:rPr>
          <w:rStyle w:val="a4"/>
          <w:b w:val="0"/>
          <w:color w:val="FF0000"/>
        </w:rPr>
        <w:t xml:space="preserve"> </w:t>
      </w:r>
      <w:r w:rsidRPr="00F652E4">
        <w:rPr>
          <w:rStyle w:val="a4"/>
          <w:b w:val="0"/>
        </w:rPr>
        <w:t>К 2025 году размер среднемесячной заработной платы ожидается на уровне 55 104 рублей, прирост к 2022 году составит 23,6%. В сравнении с Прогнозом РФ темпы роста имеют схожую динамику.</w:t>
      </w:r>
    </w:p>
    <w:p w:rsidR="000E4EB8" w:rsidRPr="00F652E4" w:rsidRDefault="000E4EB8" w:rsidP="000E4EB8">
      <w:pPr>
        <w:ind w:firstLine="708"/>
        <w:jc w:val="both"/>
        <w:rPr>
          <w:bCs/>
          <w:i/>
        </w:rPr>
      </w:pPr>
      <w:r w:rsidRPr="00F652E4">
        <w:rPr>
          <w:bCs/>
          <w:i/>
          <w:u w:val="single"/>
        </w:rPr>
        <w:t>Для справки:</w:t>
      </w:r>
      <w:r w:rsidRPr="00F652E4">
        <w:rPr>
          <w:bCs/>
          <w:i/>
        </w:rPr>
        <w:t xml:space="preserve"> В целом по Российской Федерации номинальная начисленная среднемесячная заработная плата в 2022 году составит 63 888 рублей, темп роста 111,6%. В 2023-2025 годах темп роста составит 108,7%-107,0 %. В 2025 году среднемесячная заработная плата ожидается в размере 80 028 рублей, прирост к 2022 году составит 25,3%.</w:t>
      </w:r>
    </w:p>
    <w:p w:rsidR="000E4EB8" w:rsidRPr="00F652E4" w:rsidRDefault="000E4EB8" w:rsidP="000E4EB8">
      <w:pPr>
        <w:ind w:firstLine="709"/>
        <w:jc w:val="both"/>
        <w:rPr>
          <w:i/>
        </w:rPr>
      </w:pPr>
      <w:r w:rsidRPr="00F652E4">
        <w:rPr>
          <w:bCs/>
        </w:rPr>
        <w:t>В большинстве субъектов Приволжского федерального округа, кроме Республики Татарстан и Самарской области, спрогнозированы высокие темпы роста номинальной начисленной среднемесячной заработной платы в районе 105,8-110%. Наибольший рост отмечается в 2023 году в Кировской области – 110 %, Нижегородской области – 109,9% и Пензенской области – 109%. Среди 10 субъектов Приволжского федерального округа (нет данных по Республике Мордови</w:t>
      </w:r>
      <w:r w:rsidR="006E3990">
        <w:rPr>
          <w:bCs/>
        </w:rPr>
        <w:t>я</w:t>
      </w:r>
      <w:r w:rsidRPr="00F652E4">
        <w:rPr>
          <w:bCs/>
        </w:rPr>
        <w:t xml:space="preserve">, Республике Татарстан, Саратовской и Ульяновской областям) Удмуртская Республика занимает 5 место по этому показателю на 2023 год </w:t>
      </w:r>
      <w:r w:rsidRPr="00F652E4">
        <w:rPr>
          <w:bCs/>
          <w:i/>
        </w:rPr>
        <w:t>(см. Приложение 2 к аналитической записке).</w:t>
      </w:r>
    </w:p>
    <w:p w:rsidR="000E4EB8" w:rsidRPr="00F652E4" w:rsidRDefault="000E4EB8" w:rsidP="000E4EB8">
      <w:pPr>
        <w:ind w:firstLine="708"/>
        <w:jc w:val="both"/>
        <w:rPr>
          <w:rStyle w:val="a4"/>
          <w:b w:val="0"/>
        </w:rPr>
      </w:pPr>
      <w:r w:rsidRPr="00F652E4">
        <w:rPr>
          <w:rStyle w:val="a4"/>
          <w:b w:val="0"/>
        </w:rPr>
        <w:t>В 2022 году реальные располагаемые доходы населения оценочно составят 97% к 2021 году. По базовому варианту прогноза в 2023-2025 годах темпы роста постепенно увеличатся и составят 100-103%. В сравнении с Прогнозом РФ темпы роста будут ниже на 1,6%-0,5%.</w:t>
      </w:r>
    </w:p>
    <w:p w:rsidR="000E4EB8" w:rsidRPr="00F652E4" w:rsidRDefault="000E4EB8" w:rsidP="000E4EB8">
      <w:pPr>
        <w:ind w:firstLine="708"/>
        <w:jc w:val="both"/>
        <w:rPr>
          <w:rStyle w:val="a4"/>
          <w:b w:val="0"/>
          <w:i/>
        </w:rPr>
      </w:pPr>
      <w:r w:rsidRPr="00F652E4">
        <w:rPr>
          <w:rStyle w:val="a4"/>
          <w:b w:val="0"/>
          <w:i/>
          <w:u w:val="single"/>
        </w:rPr>
        <w:t>Для справки:</w:t>
      </w:r>
      <w:r w:rsidRPr="00F652E4">
        <w:rPr>
          <w:rStyle w:val="a4"/>
          <w:b w:val="0"/>
          <w:i/>
        </w:rPr>
        <w:t xml:space="preserve"> В целом по Российской Федерации темп роста реальных располагаемых денежных доходов населения в 2022 году ожидается на уровне 97,8 %, в 2023-2025 годах темпы роста составят 101,6 %-102,5%.</w:t>
      </w:r>
    </w:p>
    <w:p w:rsidR="000E4EB8" w:rsidRPr="00F652E4" w:rsidRDefault="000E4EB8" w:rsidP="000E4EB8">
      <w:pPr>
        <w:ind w:firstLine="709"/>
        <w:jc w:val="both"/>
      </w:pPr>
      <w:r w:rsidRPr="00F652E4">
        <w:rPr>
          <w:bCs/>
        </w:rPr>
        <w:t xml:space="preserve">Во всех субъектах Приволжского федерального округа, кроме Кировской и Пензенской областей в 2023 году, прогнозируется восстановительный рост реальных располагаемых денежных доходов населения, наибольший рост - в Пермском крае – 104,3-106,2%. </w:t>
      </w:r>
      <w:r w:rsidRPr="00F652E4">
        <w:rPr>
          <w:rStyle w:val="a4"/>
          <w:b w:val="0"/>
        </w:rPr>
        <w:t xml:space="preserve">В остальных субъектах Приволжского федерального округа на среднесрочный период </w:t>
      </w:r>
      <w:r w:rsidRPr="00F652E4">
        <w:rPr>
          <w:bCs/>
        </w:rPr>
        <w:t xml:space="preserve">ожидаются умеренные темпы роста </w:t>
      </w:r>
      <w:r w:rsidRPr="00F652E4">
        <w:rPr>
          <w:rStyle w:val="a4"/>
          <w:b w:val="0"/>
        </w:rPr>
        <w:t xml:space="preserve">100 % - 103,8%. </w:t>
      </w:r>
      <w:r w:rsidRPr="00F652E4">
        <w:rPr>
          <w:bCs/>
        </w:rPr>
        <w:t>Среди 10 субъектов Приволжского федерального округа (нет данных по Республике Мордови</w:t>
      </w:r>
      <w:r w:rsidR="006E3990">
        <w:rPr>
          <w:bCs/>
        </w:rPr>
        <w:t>я</w:t>
      </w:r>
      <w:bookmarkStart w:id="0" w:name="_GoBack"/>
      <w:bookmarkEnd w:id="0"/>
      <w:r w:rsidRPr="00F652E4">
        <w:rPr>
          <w:bCs/>
        </w:rPr>
        <w:t xml:space="preserve">, Республике Татарстан, Саратовской и Ульяновской областей) Удмуртская Республика занимает 7 место по этому показателю на 2023 год </w:t>
      </w:r>
      <w:r w:rsidRPr="00F652E4">
        <w:rPr>
          <w:bCs/>
          <w:i/>
        </w:rPr>
        <w:t>(см. Приложение 2 к аналитической записке).</w:t>
      </w:r>
    </w:p>
    <w:p w:rsidR="000E4EB8" w:rsidRPr="00F652E4" w:rsidRDefault="000E4EB8" w:rsidP="000E4EB8">
      <w:pPr>
        <w:ind w:firstLine="708"/>
        <w:jc w:val="both"/>
        <w:rPr>
          <w:rStyle w:val="a4"/>
          <w:b w:val="0"/>
          <w:i/>
        </w:rPr>
      </w:pPr>
    </w:p>
    <w:sectPr w:rsidR="000E4EB8" w:rsidRPr="00F6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B8"/>
    <w:rsid w:val="000C1A69"/>
    <w:rsid w:val="000E4EB8"/>
    <w:rsid w:val="006B73A2"/>
    <w:rsid w:val="006E3990"/>
    <w:rsid w:val="006F1004"/>
    <w:rsid w:val="00C94675"/>
    <w:rsid w:val="00F6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56C91-6867-45B9-84C2-B988F9B4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4EB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E4EB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0E4EB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E4EB8"/>
    <w:rPr>
      <w:rFonts w:ascii="Calibri" w:eastAsia="Calibri" w:hAnsi="Calibri" w:cs="Times New Roman"/>
      <w:i/>
      <w:iCs/>
      <w:color w:val="000000"/>
    </w:rPr>
  </w:style>
  <w:style w:type="character" w:customStyle="1" w:styleId="a5">
    <w:name w:val="Основной текст_"/>
    <w:link w:val="21"/>
    <w:rsid w:val="000E4EB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0E4EB8"/>
    <w:pPr>
      <w:widowControl w:val="0"/>
      <w:shd w:val="clear" w:color="auto" w:fill="FFFFFF"/>
      <w:spacing w:line="35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52E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65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7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Валовый (внутренний) региональный продукт</a:t>
            </a:r>
          </a:p>
        </c:rich>
      </c:tx>
      <c:layout>
        <c:manualLayout>
          <c:xMode val="edge"/>
          <c:yMode val="edge"/>
          <c:x val="0.20312725425450853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3.6111111111111108E-2"/>
          <c:y val="0.31507032643488525"/>
          <c:w val="0.92911314840408055"/>
          <c:h val="0.43802432191100105"/>
        </c:manualLayout>
      </c:layout>
      <c:lineChart>
        <c:grouping val="standard"/>
        <c:varyColors val="0"/>
        <c:ser>
          <c:idx val="0"/>
          <c:order val="0"/>
          <c:tx>
            <c:strRef>
              <c:f>ВРП!$A$3</c:f>
              <c:strCache>
                <c:ptCount val="1"/>
                <c:pt idx="0">
                  <c:v>Удмуртия </c:v>
                </c:pt>
              </c:strCache>
            </c:strRef>
          </c:tx>
          <c:dLbls>
            <c:dLbl>
              <c:idx val="0"/>
              <c:layout>
                <c:manualLayout>
                  <c:x val="-0.14600016933367199"/>
                  <c:y val="-3.6588907694949345E-2"/>
                </c:manualLayout>
              </c:layout>
              <c:numFmt formatCode="#,##0.0" sourceLinked="0"/>
              <c:spPr>
                <a:noFill/>
                <a:ln w="22709">
                  <a:noFill/>
                </a:ln>
              </c:spPr>
              <c:txPr>
                <a:bodyPr/>
                <a:lstStyle/>
                <a:p>
                  <a:pPr>
                    <a:defRPr sz="107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8688341376682795E-2"/>
                  <c:y val="-5.5280496479996021E-2"/>
                </c:manualLayout>
              </c:layout>
              <c:numFmt formatCode="#,##0.0" sourceLinked="0"/>
              <c:spPr>
                <a:noFill/>
                <a:ln w="22709">
                  <a:noFill/>
                </a:ln>
              </c:spPr>
              <c:txPr>
                <a:bodyPr/>
                <a:lstStyle/>
                <a:p>
                  <a:pPr>
                    <a:defRPr sz="107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8688341376682753E-2"/>
                  <c:y val="-4.2819437289964866E-2"/>
                </c:manualLayout>
              </c:layout>
              <c:numFmt formatCode="#,##0.0" sourceLinked="0"/>
              <c:spPr>
                <a:noFill/>
                <a:ln w="22709">
                  <a:noFill/>
                </a:ln>
              </c:spPr>
              <c:txPr>
                <a:bodyPr/>
                <a:lstStyle/>
                <a:p>
                  <a:pPr>
                    <a:defRPr sz="107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4387266107865547E-2"/>
                  <c:y val="5.6869036230284241E-2"/>
                </c:manualLayout>
              </c:layout>
              <c:numFmt formatCode="#,##0.0" sourceLinked="0"/>
              <c:spPr>
                <a:noFill/>
                <a:ln w="22709">
                  <a:noFill/>
                </a:ln>
              </c:spPr>
              <c:txPr>
                <a:bodyPr/>
                <a:lstStyle/>
                <a:p>
                  <a:pPr>
                    <a:defRPr sz="107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6956057912115825E-2"/>
                  <c:y val="5.6869036230284296E-2"/>
                </c:manualLayout>
              </c:layout>
              <c:numFmt formatCode="#,##0.0" sourceLinked="0"/>
              <c:spPr>
                <a:noFill/>
                <a:ln w="22709">
                  <a:noFill/>
                </a:ln>
              </c:spPr>
              <c:txPr>
                <a:bodyPr/>
                <a:lstStyle/>
                <a:p>
                  <a:pPr>
                    <a:defRPr sz="107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numFmt formatCode="#,##0.0" sourceLinked="0"/>
              <c:spPr>
                <a:noFill/>
                <a:ln w="22709">
                  <a:noFill/>
                </a:ln>
              </c:spPr>
              <c:txPr>
                <a:bodyPr/>
                <a:lstStyle/>
                <a:p>
                  <a:pPr>
                    <a:defRPr sz="107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27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ВРП!$B$2:$F$2</c:f>
              <c:strCache>
                <c:ptCount val="5"/>
                <c:pt idx="0">
                  <c:v>2021 факт</c:v>
                </c:pt>
                <c:pt idx="1">
                  <c:v>2022 оценка</c:v>
                </c:pt>
                <c:pt idx="2">
                  <c:v>2023 прогноз</c:v>
                </c:pt>
                <c:pt idx="3">
                  <c:v>2024 прогноз</c:v>
                </c:pt>
                <c:pt idx="4">
                  <c:v>2025 прогноз</c:v>
                </c:pt>
              </c:strCache>
            </c:strRef>
          </c:cat>
          <c:val>
            <c:numRef>
              <c:f>ВРП!$B$3:$F$3</c:f>
              <c:numCache>
                <c:formatCode>General</c:formatCode>
                <c:ptCount val="5"/>
                <c:pt idx="0">
                  <c:v>106.7</c:v>
                </c:pt>
                <c:pt idx="1">
                  <c:v>100.2</c:v>
                </c:pt>
                <c:pt idx="2">
                  <c:v>100.8</c:v>
                </c:pt>
                <c:pt idx="3">
                  <c:v>101.3</c:v>
                </c:pt>
                <c:pt idx="4">
                  <c:v>101.9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ВРП!$A$4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square"/>
            <c:size val="2"/>
          </c:marker>
          <c:dLbls>
            <c:dLbl>
              <c:idx val="0"/>
              <c:layout>
                <c:manualLayout>
                  <c:x val="-0.11589264245195158"/>
                  <c:y val="4.2819437289964922E-2"/>
                </c:manualLayout>
              </c:layout>
              <c:numFmt formatCode="#,##0.0" sourceLinked="0"/>
              <c:spPr>
                <a:noFill/>
                <a:ln w="22709">
                  <a:noFill/>
                </a:ln>
              </c:spPr>
              <c:txPr>
                <a:bodyPr/>
                <a:lstStyle/>
                <a:p>
                  <a:pPr>
                    <a:defRPr sz="107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7236813140292987E-2"/>
                  <c:y val="5.5280496479996076E-2"/>
                </c:manualLayout>
              </c:layout>
              <c:numFmt formatCode="#,##0.0" sourceLinked="0"/>
              <c:spPr>
                <a:noFill/>
                <a:ln w="22709">
                  <a:noFill/>
                </a:ln>
              </c:spPr>
              <c:txPr>
                <a:bodyPr/>
                <a:lstStyle/>
                <a:p>
                  <a:pPr>
                    <a:defRPr sz="107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7236813140293029E-2"/>
                  <c:y val="4.2819437289964922E-2"/>
                </c:manualLayout>
              </c:layout>
              <c:numFmt formatCode="#,##0.0" sourceLinked="0"/>
              <c:spPr>
                <a:noFill/>
                <a:ln w="22709">
                  <a:noFill/>
                </a:ln>
              </c:spPr>
              <c:txPr>
                <a:bodyPr/>
                <a:lstStyle/>
                <a:p>
                  <a:pPr>
                    <a:defRPr sz="107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0086190839048341E-2"/>
                  <c:y val="-5.0638506635268782E-2"/>
                </c:manualLayout>
              </c:layout>
              <c:numFmt formatCode="#,##0.0" sourceLinked="0"/>
              <c:spPr>
                <a:noFill/>
                <a:ln w="22709">
                  <a:noFill/>
                </a:ln>
              </c:spPr>
              <c:txPr>
                <a:bodyPr/>
                <a:lstStyle/>
                <a:p>
                  <a:pPr>
                    <a:defRPr sz="107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6956057912115825E-2"/>
                  <c:y val="-4.4407977040253149E-2"/>
                </c:manualLayout>
              </c:layout>
              <c:numFmt formatCode="#,##0.0" sourceLinked="0"/>
              <c:spPr>
                <a:noFill/>
                <a:ln w="22709">
                  <a:noFill/>
                </a:ln>
              </c:spPr>
              <c:txPr>
                <a:bodyPr/>
                <a:lstStyle/>
                <a:p>
                  <a:pPr>
                    <a:defRPr sz="107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numFmt formatCode="#,##0.0" sourceLinked="0"/>
              <c:spPr>
                <a:noFill/>
                <a:ln w="22709">
                  <a:noFill/>
                </a:ln>
              </c:spPr>
              <c:txPr>
                <a:bodyPr/>
                <a:lstStyle/>
                <a:p>
                  <a:pPr>
                    <a:defRPr sz="107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numFmt formatCode="#,##0.0" sourceLinked="0"/>
              <c:spPr>
                <a:noFill/>
                <a:ln w="22709">
                  <a:noFill/>
                </a:ln>
              </c:spPr>
              <c:txPr>
                <a:bodyPr/>
                <a:lstStyle/>
                <a:p>
                  <a:pPr>
                    <a:defRPr sz="107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27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ВРП!$B$2:$F$2</c:f>
              <c:strCache>
                <c:ptCount val="5"/>
                <c:pt idx="0">
                  <c:v>2021 факт</c:v>
                </c:pt>
                <c:pt idx="1">
                  <c:v>2022 оценка</c:v>
                </c:pt>
                <c:pt idx="2">
                  <c:v>2023 прогноз</c:v>
                </c:pt>
                <c:pt idx="3">
                  <c:v>2024 прогноз</c:v>
                </c:pt>
                <c:pt idx="4">
                  <c:v>2025 прогноз</c:v>
                </c:pt>
              </c:strCache>
            </c:strRef>
          </c:cat>
          <c:val>
            <c:numRef>
              <c:f>ВРП!$B$4:$F$4</c:f>
              <c:numCache>
                <c:formatCode>0.0</c:formatCode>
                <c:ptCount val="5"/>
                <c:pt idx="0" formatCode="General">
                  <c:v>104.7</c:v>
                </c:pt>
                <c:pt idx="1">
                  <c:v>97.1</c:v>
                </c:pt>
                <c:pt idx="2">
                  <c:v>99.2</c:v>
                </c:pt>
                <c:pt idx="3">
                  <c:v>102.6</c:v>
                </c:pt>
                <c:pt idx="4">
                  <c:v>102.6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5197760"/>
        <c:axId val="315198936"/>
      </c:lineChart>
      <c:catAx>
        <c:axId val="315197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6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15198936"/>
        <c:crosses val="autoZero"/>
        <c:auto val="1"/>
        <c:lblAlgn val="ctr"/>
        <c:lblOffset val="100"/>
        <c:noMultiLvlLbl val="0"/>
      </c:catAx>
      <c:valAx>
        <c:axId val="3151989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151977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201405469477607"/>
          <c:y val="0.18503642652145116"/>
          <c:w val="0.62145931758530193"/>
          <c:h val="9.4527926999779271E-2"/>
        </c:manualLayout>
      </c:layout>
      <c:overlay val="0"/>
      <c:txPr>
        <a:bodyPr/>
        <a:lstStyle/>
        <a:p>
          <a:pPr>
            <a:defRPr sz="69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>
          <a:lumMod val="95000"/>
        </a:schemeClr>
      </a:solidFill>
    </a:ln>
  </c:spPr>
  <c:txPr>
    <a:bodyPr/>
    <a:lstStyle/>
    <a:p>
      <a:pPr>
        <a:defRPr sz="89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6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78" b="1" i="0" baseline="0">
                <a:effectLst/>
              </a:rPr>
              <a:t>Индекс потребительских цен,%</a:t>
            </a:r>
            <a:endParaRPr lang="ru-RU" sz="1200">
              <a:effectLst/>
            </a:endParaRPr>
          </a:p>
          <a:p>
            <a:pPr>
              <a:defRPr sz="96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78" b="0" i="0" baseline="0">
                <a:effectLst/>
              </a:rPr>
              <a:t>(год к предыдущему году)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20312710911136106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3.6111111111111108E-2"/>
          <c:y val="0.31507032643488525"/>
          <c:w val="0.92911314840408055"/>
          <c:h val="0.43802432191100105"/>
        </c:manualLayout>
      </c:layout>
      <c:lineChart>
        <c:grouping val="standard"/>
        <c:varyColors val="0"/>
        <c:ser>
          <c:idx val="0"/>
          <c:order val="0"/>
          <c:tx>
            <c:strRef>
              <c:f>ВРП!$A$3</c:f>
              <c:strCache>
                <c:ptCount val="1"/>
                <c:pt idx="0">
                  <c:v>Удмуртия </c:v>
                </c:pt>
              </c:strCache>
            </c:strRef>
          </c:tx>
          <c:dLbls>
            <c:dLbl>
              <c:idx val="0"/>
              <c:layout>
                <c:manualLayout>
                  <c:x val="-0.10787044051925941"/>
                  <c:y val="-2.4298168731985481E-2"/>
                </c:manualLayout>
              </c:layout>
              <c:numFmt formatCode="#,##0.0" sourceLinked="0"/>
              <c:spPr>
                <a:noFill/>
                <a:ln w="22755">
                  <a:noFill/>
                </a:ln>
              </c:spPr>
              <c:txPr>
                <a:bodyPr/>
                <a:lstStyle/>
                <a:p>
                  <a:pPr>
                    <a:defRPr sz="107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9221791870610768E-2"/>
                  <c:y val="-4.9396214147590399E-2"/>
                </c:manualLayout>
              </c:layout>
              <c:numFmt formatCode="#,##0.0" sourceLinked="0"/>
              <c:spPr>
                <a:noFill/>
                <a:ln w="22755">
                  <a:noFill/>
                </a:ln>
              </c:spPr>
              <c:txPr>
                <a:bodyPr/>
                <a:lstStyle/>
                <a:p>
                  <a:pPr>
                    <a:defRPr sz="107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numFmt formatCode="#,##0.0" sourceLinked="0"/>
              <c:spPr>
                <a:noFill/>
                <a:ln w="22755">
                  <a:noFill/>
                </a:ln>
              </c:spPr>
              <c:txPr>
                <a:bodyPr/>
                <a:lstStyle/>
                <a:p>
                  <a:pPr>
                    <a:defRPr sz="107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#,##0.0" sourceLinked="0"/>
              <c:spPr>
                <a:noFill/>
                <a:ln w="22755">
                  <a:noFill/>
                </a:ln>
              </c:spPr>
              <c:txPr>
                <a:bodyPr/>
                <a:lstStyle/>
                <a:p>
                  <a:pPr>
                    <a:defRPr sz="107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#,##0.0" sourceLinked="0"/>
              <c:spPr>
                <a:noFill/>
                <a:ln w="22755">
                  <a:noFill/>
                </a:ln>
              </c:spPr>
              <c:txPr>
                <a:bodyPr/>
                <a:lstStyle/>
                <a:p>
                  <a:pPr>
                    <a:defRPr sz="107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numFmt formatCode="#,##0.0" sourceLinked="0"/>
              <c:spPr>
                <a:noFill/>
                <a:ln w="22755">
                  <a:noFill/>
                </a:ln>
              </c:spPr>
              <c:txPr>
                <a:bodyPr/>
                <a:lstStyle/>
                <a:p>
                  <a:pPr>
                    <a:defRPr sz="107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275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ВРП!$B$2:$F$2</c:f>
              <c:strCache>
                <c:ptCount val="5"/>
                <c:pt idx="0">
                  <c:v>2021 отчет</c:v>
                </c:pt>
                <c:pt idx="1">
                  <c:v>2022 оценка</c:v>
                </c:pt>
                <c:pt idx="2">
                  <c:v>2023 прогноз</c:v>
                </c:pt>
                <c:pt idx="3">
                  <c:v>2024 прогноз</c:v>
                </c:pt>
                <c:pt idx="4">
                  <c:v>2025 прогноз</c:v>
                </c:pt>
              </c:strCache>
            </c:strRef>
          </c:cat>
          <c:val>
            <c:numRef>
              <c:f>ВРП!$B$3:$F$3</c:f>
              <c:numCache>
                <c:formatCode>General</c:formatCode>
                <c:ptCount val="5"/>
                <c:pt idx="0">
                  <c:v>106.7</c:v>
                </c:pt>
                <c:pt idx="1">
                  <c:v>115.7</c:v>
                </c:pt>
                <c:pt idx="2">
                  <c:v>108.4</c:v>
                </c:pt>
                <c:pt idx="3">
                  <c:v>105.7</c:v>
                </c:pt>
                <c:pt idx="4">
                  <c:v>104.5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ВРП!$A$4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square"/>
            <c:size val="2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6924281762077037E-2"/>
                  <c:y val="4.0227522674700616E-2"/>
                </c:manualLayout>
              </c:layout>
              <c:numFmt formatCode="#,##0.0" sourceLinked="0"/>
              <c:spPr>
                <a:noFill/>
                <a:ln w="22755">
                  <a:noFill/>
                </a:ln>
              </c:spPr>
              <c:txPr>
                <a:bodyPr/>
                <a:lstStyle/>
                <a:p>
                  <a:pPr>
                    <a:defRPr sz="107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8249159395616094E-2"/>
                  <c:y val="-2.4722562846395597E-3"/>
                </c:manualLayout>
              </c:layout>
              <c:numFmt formatCode="#,##0.0" sourceLinked="0"/>
              <c:spPr>
                <a:noFill/>
                <a:ln w="22755">
                  <a:noFill/>
                </a:ln>
              </c:spPr>
              <c:txPr>
                <a:bodyPr/>
                <a:lstStyle/>
                <a:p>
                  <a:pPr>
                    <a:defRPr sz="107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8080442647371784E-2"/>
                  <c:y val="5.8703735359885217E-3"/>
                </c:manualLayout>
              </c:layout>
              <c:numFmt formatCode="#,##0.0" sourceLinked="0"/>
              <c:spPr>
                <a:noFill/>
                <a:ln w="22755">
                  <a:noFill/>
                </a:ln>
              </c:spPr>
              <c:txPr>
                <a:bodyPr/>
                <a:lstStyle/>
                <a:p>
                  <a:pPr>
                    <a:defRPr sz="107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4927771866354544E-2"/>
                  <c:y val="1.3897795620885132E-3"/>
                </c:manualLayout>
              </c:layout>
              <c:numFmt formatCode="#,##0.0" sourceLinked="0"/>
              <c:spPr>
                <a:noFill/>
                <a:ln w="22755">
                  <a:noFill/>
                </a:ln>
              </c:spPr>
              <c:txPr>
                <a:bodyPr/>
                <a:lstStyle/>
                <a:p>
                  <a:pPr>
                    <a:defRPr sz="107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158681467029051E-3"/>
                  <c:y val="1.2948460941988555E-2"/>
                </c:manualLayout>
              </c:layout>
              <c:numFmt formatCode="#,##0.0" sourceLinked="0"/>
              <c:spPr>
                <a:noFill/>
                <a:ln w="22755">
                  <a:noFill/>
                </a:ln>
              </c:spPr>
              <c:txPr>
                <a:bodyPr/>
                <a:lstStyle/>
                <a:p>
                  <a:pPr>
                    <a:defRPr sz="107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7653762029746279E-2"/>
                  <c:y val="-5.0451297754447358E-2"/>
                </c:manualLayout>
              </c:layout>
              <c:numFmt formatCode="#,##0.0" sourceLinked="0"/>
              <c:spPr>
                <a:noFill/>
                <a:ln w="22755">
                  <a:noFill/>
                </a:ln>
              </c:spPr>
              <c:txPr>
                <a:bodyPr/>
                <a:lstStyle/>
                <a:p>
                  <a:pPr>
                    <a:defRPr sz="107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275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ВРП!$B$2:$F$2</c:f>
              <c:strCache>
                <c:ptCount val="5"/>
                <c:pt idx="0">
                  <c:v>2021 отчет</c:v>
                </c:pt>
                <c:pt idx="1">
                  <c:v>2022 оценка</c:v>
                </c:pt>
                <c:pt idx="2">
                  <c:v>2023 прогноз</c:v>
                </c:pt>
                <c:pt idx="3">
                  <c:v>2024 прогноз</c:v>
                </c:pt>
                <c:pt idx="4">
                  <c:v>2025 прогноз</c:v>
                </c:pt>
              </c:strCache>
            </c:strRef>
          </c:cat>
          <c:val>
            <c:numRef>
              <c:f>ВРП!$B$4:$F$4</c:f>
              <c:numCache>
                <c:formatCode>0.0</c:formatCode>
                <c:ptCount val="5"/>
                <c:pt idx="0" formatCode="General">
                  <c:v>106.7</c:v>
                </c:pt>
                <c:pt idx="1">
                  <c:v>113.9</c:v>
                </c:pt>
                <c:pt idx="2">
                  <c:v>106</c:v>
                </c:pt>
                <c:pt idx="3">
                  <c:v>104.7</c:v>
                </c:pt>
                <c:pt idx="4">
                  <c:v>104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5196976"/>
        <c:axId val="315198152"/>
      </c:lineChart>
      <c:catAx>
        <c:axId val="315196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6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15198152"/>
        <c:crosses val="autoZero"/>
        <c:auto val="1"/>
        <c:lblAlgn val="ctr"/>
        <c:lblOffset val="100"/>
        <c:noMultiLvlLbl val="0"/>
      </c:catAx>
      <c:valAx>
        <c:axId val="3151981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151969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525718376112077"/>
          <c:y val="0.17876194720942901"/>
          <c:w val="0.62145924941200525"/>
          <c:h val="9.4527806665676228E-2"/>
        </c:manualLayout>
      </c:layout>
      <c:overlay val="0"/>
      <c:txPr>
        <a:bodyPr/>
        <a:lstStyle/>
        <a:p>
          <a:pPr>
            <a:defRPr sz="75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>
          <a:lumMod val="95000"/>
        </a:schemeClr>
      </a:solidFill>
    </a:ln>
  </c:spPr>
  <c:txPr>
    <a:bodyPr/>
    <a:lstStyle/>
    <a:p>
      <a:pPr>
        <a:defRPr sz="89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88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mbria"/>
                <a:cs typeface="Times New Roman" panose="02020603050405020304" pitchFamily="18" charset="0"/>
              </a:defRPr>
            </a:pPr>
            <a:r>
              <a:rPr lang="ru-RU" sz="988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индекса промышленного производства, %</a:t>
            </a:r>
          </a:p>
        </c:rich>
      </c:tx>
      <c:layout>
        <c:manualLayout>
          <c:xMode val="edge"/>
          <c:yMode val="edge"/>
          <c:x val="0.20605176121975863"/>
          <c:y val="3.738349091396767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9691425169791922E-2"/>
          <c:y val="0.25510425780110818"/>
          <c:w val="0.95808642476391481"/>
          <c:h val="0.41113748998897798"/>
        </c:manualLayout>
      </c:layout>
      <c:lineChart>
        <c:grouping val="standard"/>
        <c:varyColors val="0"/>
        <c:ser>
          <c:idx val="0"/>
          <c:order val="0"/>
          <c:tx>
            <c:strRef>
              <c:f>промышленность!$A$36</c:f>
              <c:strCache>
                <c:ptCount val="1"/>
                <c:pt idx="0">
                  <c:v>Удмуртия </c:v>
                </c:pt>
              </c:strCache>
            </c:strRef>
          </c:tx>
          <c:spPr>
            <a:ln w="34220"/>
          </c:spPr>
          <c:dLbls>
            <c:dLbl>
              <c:idx val="1"/>
              <c:layout>
                <c:manualLayout>
                  <c:x val="-4.8201538323346643E-2"/>
                  <c:y val="-4.61196074011763E-2"/>
                </c:manualLayout>
              </c:layout>
              <c:spPr>
                <a:noFill/>
                <a:ln w="22814">
                  <a:noFill/>
                </a:ln>
              </c:spPr>
              <c:txPr>
                <a:bodyPr/>
                <a:lstStyle/>
                <a:p>
                  <a:pPr>
                    <a:defRPr sz="988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mbri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7145798913155003E-2"/>
                  <c:y val="-3.459866753683867E-2"/>
                </c:manualLayout>
              </c:layout>
              <c:spPr>
                <a:noFill/>
                <a:ln w="22814">
                  <a:noFill/>
                </a:ln>
              </c:spPr>
              <c:txPr>
                <a:bodyPr/>
                <a:lstStyle/>
                <a:p>
                  <a:pPr>
                    <a:defRPr sz="988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mbri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8388888888888886E-2"/>
                  <c:y val="5.2713334613661095E-2"/>
                </c:manualLayout>
              </c:layout>
              <c:spPr>
                <a:noFill/>
                <a:ln w="22814">
                  <a:noFill/>
                </a:ln>
              </c:spPr>
              <c:txPr>
                <a:bodyPr/>
                <a:lstStyle/>
                <a:p>
                  <a:pPr>
                    <a:defRPr sz="988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mbri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9687664041994747E-2"/>
                  <c:y val="4.1192038495188099E-2"/>
                </c:manualLayout>
              </c:layout>
              <c:spPr>
                <a:noFill/>
                <a:ln w="22814">
                  <a:noFill/>
                </a:ln>
              </c:spPr>
              <c:txPr>
                <a:bodyPr/>
                <a:lstStyle/>
                <a:p>
                  <a:pPr>
                    <a:defRPr sz="988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mbri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5243219597550304E-2"/>
                  <c:y val="5.5080927384076987E-2"/>
                </c:manualLayout>
              </c:layout>
              <c:spPr>
                <a:noFill/>
                <a:ln w="22814">
                  <a:noFill/>
                </a:ln>
              </c:spPr>
              <c:txPr>
                <a:bodyPr/>
                <a:lstStyle/>
                <a:p>
                  <a:pPr>
                    <a:defRPr sz="988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mbri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0910542432195977E-2"/>
                  <c:y val="4.1192038495188099E-2"/>
                </c:manualLayout>
              </c:layout>
              <c:spPr>
                <a:noFill/>
                <a:ln w="22814">
                  <a:noFill/>
                </a:ln>
              </c:spPr>
              <c:txPr>
                <a:bodyPr/>
                <a:lstStyle/>
                <a:p>
                  <a:pPr>
                    <a:defRPr sz="988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mbri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28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8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mbri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промышленность!$B$35:$F$35</c:f>
              <c:strCache>
                <c:ptCount val="5"/>
                <c:pt idx="0">
                  <c:v>2021 отчет</c:v>
                </c:pt>
                <c:pt idx="1">
                  <c:v>2022 оценка</c:v>
                </c:pt>
                <c:pt idx="2">
                  <c:v>2023 прогноз</c:v>
                </c:pt>
                <c:pt idx="3">
                  <c:v>2024 прогноз</c:v>
                </c:pt>
                <c:pt idx="4">
                  <c:v>2025 прогноз</c:v>
                </c:pt>
              </c:strCache>
            </c:strRef>
          </c:cat>
          <c:val>
            <c:numRef>
              <c:f>промышленность!$B$36:$F$36</c:f>
              <c:numCache>
                <c:formatCode>General</c:formatCode>
                <c:ptCount val="5"/>
                <c:pt idx="0">
                  <c:v>108.2</c:v>
                </c:pt>
                <c:pt idx="1">
                  <c:v>100.9</c:v>
                </c:pt>
                <c:pt idx="2">
                  <c:v>100.2</c:v>
                </c:pt>
                <c:pt idx="3">
                  <c:v>100.7</c:v>
                </c:pt>
                <c:pt idx="4">
                  <c:v>100.7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промышленность!$A$37</c:f>
              <c:strCache>
                <c:ptCount val="1"/>
                <c:pt idx="0">
                  <c:v>Россия</c:v>
                </c:pt>
              </c:strCache>
            </c:strRef>
          </c:tx>
          <c:spPr>
            <a:ln w="28517">
              <a:solidFill>
                <a:srgbClr val="F79646">
                  <a:lumMod val="75000"/>
                </a:srgbClr>
              </a:solidFill>
            </a:ln>
          </c:spPr>
          <c:marker>
            <c:spPr>
              <a:solidFill>
                <a:srgbClr val="F79646">
                  <a:lumMod val="75000"/>
                </a:srgbClr>
              </a:solidFill>
            </c:spPr>
          </c:marker>
          <c:dLbls>
            <c:dLbl>
              <c:idx val="0"/>
              <c:layout>
                <c:manualLayout>
                  <c:x val="-9.647406169374359E-2"/>
                  <c:y val="5.5081102289897904E-2"/>
                </c:manualLayout>
              </c:layout>
              <c:spPr>
                <a:noFill/>
                <a:ln w="22814">
                  <a:noFill/>
                </a:ln>
              </c:spPr>
              <c:txPr>
                <a:bodyPr/>
                <a:lstStyle/>
                <a:p>
                  <a:pPr>
                    <a:defRPr sz="988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mbri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1206412742051486E-2"/>
                  <c:y val="2.837536627513837E-2"/>
                </c:manualLayout>
              </c:layout>
              <c:spPr>
                <a:noFill/>
                <a:ln w="22814">
                  <a:noFill/>
                </a:ln>
              </c:spPr>
              <c:txPr>
                <a:bodyPr/>
                <a:lstStyle/>
                <a:p>
                  <a:pPr>
                    <a:defRPr sz="988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mbri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7605879580427989E-2"/>
                  <c:y val="3.0664724002751942E-2"/>
                </c:manualLayout>
              </c:layout>
              <c:spPr>
                <a:noFill/>
                <a:ln w="22814">
                  <a:noFill/>
                </a:ln>
              </c:spPr>
              <c:txPr>
                <a:bodyPr/>
                <a:lstStyle/>
                <a:p>
                  <a:pPr>
                    <a:defRPr sz="988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mbri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4687707845731588E-2"/>
                  <c:y val="-5.847094278619059E-2"/>
                </c:manualLayout>
              </c:layout>
              <c:spPr>
                <a:noFill/>
                <a:ln w="22814">
                  <a:noFill/>
                </a:ln>
              </c:spPr>
              <c:txPr>
                <a:bodyPr/>
                <a:lstStyle/>
                <a:p>
                  <a:pPr>
                    <a:defRPr sz="988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mbri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2340202061796175E-2"/>
                  <c:y val="-7.6850134478896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28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8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mbri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промышленность!$B$35:$F$35</c:f>
              <c:strCache>
                <c:ptCount val="5"/>
                <c:pt idx="0">
                  <c:v>2021 отчет</c:v>
                </c:pt>
                <c:pt idx="1">
                  <c:v>2022 оценка</c:v>
                </c:pt>
                <c:pt idx="2">
                  <c:v>2023 прогноз</c:v>
                </c:pt>
                <c:pt idx="3">
                  <c:v>2024 прогноз</c:v>
                </c:pt>
                <c:pt idx="4">
                  <c:v>2025 прогноз</c:v>
                </c:pt>
              </c:strCache>
            </c:strRef>
          </c:cat>
          <c:val>
            <c:numRef>
              <c:f>промышленность!$B$37:$F$37</c:f>
              <c:numCache>
                <c:formatCode>0.0</c:formatCode>
                <c:ptCount val="5"/>
                <c:pt idx="0" formatCode="General">
                  <c:v>106.4</c:v>
                </c:pt>
                <c:pt idx="1">
                  <c:v>98.2</c:v>
                </c:pt>
                <c:pt idx="2">
                  <c:v>98.7</c:v>
                </c:pt>
                <c:pt idx="3">
                  <c:v>102.2</c:v>
                </c:pt>
                <c:pt idx="4">
                  <c:v>102.3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489440"/>
        <c:axId val="119489048"/>
      </c:lineChart>
      <c:catAx>
        <c:axId val="119489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88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19489048"/>
        <c:crosses val="autoZero"/>
        <c:auto val="1"/>
        <c:lblAlgn val="ctr"/>
        <c:lblOffset val="100"/>
        <c:noMultiLvlLbl val="0"/>
      </c:catAx>
      <c:valAx>
        <c:axId val="1194890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94894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8784894112850079E-2"/>
          <c:y val="0.90442113276612202"/>
          <c:w val="0.63298846711659751"/>
          <c:h val="9.5578867233877984E-2"/>
        </c:manualLayout>
      </c:layout>
      <c:overlay val="0"/>
      <c:txPr>
        <a:bodyPr/>
        <a:lstStyle/>
        <a:p>
          <a:pPr>
            <a:defRPr sz="907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48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049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Индекс физического объема инвестиций </a:t>
            </a:r>
          </a:p>
          <a:p>
            <a:pPr>
              <a:defRPr sz="1048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049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основной капитал,%</a:t>
            </a:r>
          </a:p>
        </c:rich>
      </c:tx>
      <c:layout>
        <c:manualLayout>
          <c:xMode val="edge"/>
          <c:yMode val="edge"/>
          <c:x val="0.19120417355238004"/>
          <c:y val="3.5826771653543307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4.250404947421983E-3"/>
          <c:y val="0.42076819294006451"/>
          <c:w val="0.96419455580593794"/>
          <c:h val="0.39931497949853817"/>
        </c:manualLayout>
      </c:layout>
      <c:lineChart>
        <c:grouping val="standard"/>
        <c:varyColors val="0"/>
        <c:ser>
          <c:idx val="0"/>
          <c:order val="0"/>
          <c:tx>
            <c:strRef>
              <c:f>Ивестиции!$A$3</c:f>
              <c:strCache>
                <c:ptCount val="1"/>
                <c:pt idx="0">
                  <c:v>Удмуртия </c:v>
                </c:pt>
              </c:strCache>
            </c:strRef>
          </c:tx>
          <c:dLbls>
            <c:dLbl>
              <c:idx val="0"/>
              <c:layout>
                <c:manualLayout>
                  <c:x val="-7.699553940316485E-2"/>
                  <c:y val="3.2303123507025473E-2"/>
                </c:manualLayout>
              </c:layout>
              <c:numFmt formatCode="#,##0.0" sourceLinked="0"/>
              <c:spPr>
                <a:noFill/>
                <a:ln w="25464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 Light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4378146519854993E-2"/>
                  <c:y val="-3.477080754072677E-2"/>
                </c:manualLayout>
              </c:layout>
              <c:numFmt formatCode="#,##0.0" sourceLinked="0"/>
              <c:spPr>
                <a:noFill/>
                <a:ln w="25464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 Light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2027295950016246E-2"/>
                  <c:y val="-3.7871757954007969E-2"/>
                </c:manualLayout>
              </c:layout>
              <c:numFmt formatCode="#,##0.0" sourceLinked="0"/>
              <c:spPr>
                <a:noFill/>
                <a:ln w="25464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 Light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7352658016116205E-2"/>
                  <c:y val="-2.9279229843472056E-2"/>
                </c:manualLayout>
              </c:layout>
              <c:numFmt formatCode="#,##0.0" sourceLinked="0"/>
              <c:spPr>
                <a:noFill/>
                <a:ln w="25464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 Light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8141715789289375E-2"/>
                  <c:y val="-4.5166540178709969E-2"/>
                </c:manualLayout>
              </c:layout>
              <c:numFmt formatCode="#,##0.0" sourceLinked="0"/>
              <c:spPr>
                <a:noFill/>
                <a:ln w="25464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 Light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1054825602192793E-2"/>
                  <c:y val="-6.6265405738041613E-2"/>
                </c:manualLayout>
              </c:layout>
              <c:numFmt formatCode="#,##0.0" sourceLinked="0"/>
              <c:spPr>
                <a:noFill/>
                <a:ln w="25464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 Light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546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 Light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Ивестиции!$B$2:$F$2</c:f>
              <c:strCache>
                <c:ptCount val="5"/>
                <c:pt idx="0">
                  <c:v>2021 факт</c:v>
                </c:pt>
                <c:pt idx="1">
                  <c:v>2022 оценка</c:v>
                </c:pt>
                <c:pt idx="2">
                  <c:v>2023
прогноз</c:v>
                </c:pt>
                <c:pt idx="3">
                  <c:v>2024 прогноз</c:v>
                </c:pt>
                <c:pt idx="4">
                  <c:v>2025 прогноз</c:v>
                </c:pt>
              </c:strCache>
            </c:strRef>
          </c:cat>
          <c:val>
            <c:numRef>
              <c:f>Ивестиции!$B$3:$F$3</c:f>
              <c:numCache>
                <c:formatCode>General</c:formatCode>
                <c:ptCount val="5"/>
                <c:pt idx="0">
                  <c:v>92.4</c:v>
                </c:pt>
                <c:pt idx="1">
                  <c:v>100</c:v>
                </c:pt>
                <c:pt idx="2">
                  <c:v>102</c:v>
                </c:pt>
                <c:pt idx="3">
                  <c:v>104</c:v>
                </c:pt>
                <c:pt idx="4">
                  <c:v>104.2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487872"/>
        <c:axId val="119488264"/>
      </c:lineChart>
      <c:lineChart>
        <c:grouping val="standard"/>
        <c:varyColors val="0"/>
        <c:ser>
          <c:idx val="1"/>
          <c:order val="1"/>
          <c:tx>
            <c:strRef>
              <c:f>Ивестиции!$A$4</c:f>
              <c:strCache>
                <c:ptCount val="1"/>
                <c:pt idx="0">
                  <c:v>Россия</c:v>
                </c:pt>
              </c:strCache>
            </c:strRef>
          </c:tx>
          <c:spPr>
            <a:ln w="28547"/>
          </c:spPr>
          <c:marker>
            <c:symbol val="square"/>
            <c:size val="4"/>
          </c:marker>
          <c:dLbls>
            <c:dLbl>
              <c:idx val="0"/>
              <c:layout>
                <c:manualLayout>
                  <c:x val="-9.4812841061251402E-2"/>
                  <c:y val="-7.2468107367159501E-2"/>
                </c:manualLayout>
              </c:layout>
              <c:spPr>
                <a:noFill/>
                <a:ln w="25464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 Light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008145379541982E-2"/>
                  <c:y val="1.5104523978425977E-2"/>
                </c:manualLayout>
              </c:layout>
              <c:spPr>
                <a:noFill/>
                <a:ln w="25464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 Light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0969790429614569E-2"/>
                  <c:y val="2.4002899228044345E-2"/>
                </c:manualLayout>
              </c:layout>
              <c:spPr>
                <a:noFill/>
                <a:ln w="25464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 Light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4925563644012339E-2"/>
                  <c:y val="3.3261896277878782E-2"/>
                </c:manualLayout>
              </c:layout>
              <c:spPr>
                <a:noFill/>
                <a:ln w="25464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 Light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7824280077805379E-2"/>
                  <c:y val="3.7154889500534499E-2"/>
                </c:manualLayout>
              </c:layout>
              <c:spPr>
                <a:noFill/>
                <a:ln w="25464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 Light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1980899119581985E-2"/>
                  <c:y val="5.5370365490526763E-2"/>
                </c:manualLayout>
              </c:layout>
              <c:spPr>
                <a:noFill/>
                <a:ln w="25464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 Light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6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 Light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Ивестиции!$B$2:$F$2</c:f>
              <c:strCache>
                <c:ptCount val="5"/>
                <c:pt idx="0">
                  <c:v>2021 факт</c:v>
                </c:pt>
                <c:pt idx="1">
                  <c:v>2022 оценка</c:v>
                </c:pt>
                <c:pt idx="2">
                  <c:v>2023
прогноз</c:v>
                </c:pt>
                <c:pt idx="3">
                  <c:v>2024 прогноз</c:v>
                </c:pt>
                <c:pt idx="4">
                  <c:v>2025 прогноз</c:v>
                </c:pt>
              </c:strCache>
            </c:strRef>
          </c:cat>
          <c:val>
            <c:numRef>
              <c:f>Ивестиции!$B$4:$F$4</c:f>
              <c:numCache>
                <c:formatCode>General</c:formatCode>
                <c:ptCount val="5"/>
                <c:pt idx="0">
                  <c:v>107.7</c:v>
                </c:pt>
                <c:pt idx="1">
                  <c:v>98</c:v>
                </c:pt>
                <c:pt idx="2">
                  <c:v>99</c:v>
                </c:pt>
                <c:pt idx="3">
                  <c:v>103.9</c:v>
                </c:pt>
                <c:pt idx="4">
                  <c:v>103.7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486696"/>
        <c:axId val="119485912"/>
      </c:lineChart>
      <c:catAx>
        <c:axId val="11948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 Light"/>
                <a:cs typeface="Times New Roman" panose="02020603050405020304" pitchFamily="18" charset="0"/>
              </a:defRPr>
            </a:pPr>
            <a:endParaRPr lang="ru-RU"/>
          </a:p>
        </c:txPr>
        <c:crossAx val="119488264"/>
        <c:crosses val="autoZero"/>
        <c:auto val="1"/>
        <c:lblAlgn val="ctr"/>
        <c:lblOffset val="100"/>
        <c:noMultiLvlLbl val="0"/>
      </c:catAx>
      <c:valAx>
        <c:axId val="119488264"/>
        <c:scaling>
          <c:orientation val="minMax"/>
          <c:max val="106"/>
          <c:min val="9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6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9487872"/>
        <c:crosses val="autoZero"/>
        <c:crossBetween val="between"/>
      </c:valAx>
      <c:catAx>
        <c:axId val="119486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9485912"/>
        <c:crosses val="autoZero"/>
        <c:auto val="1"/>
        <c:lblAlgn val="ctr"/>
        <c:lblOffset val="100"/>
        <c:noMultiLvlLbl val="0"/>
      </c:catAx>
      <c:valAx>
        <c:axId val="11948591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99"/>
            </a:pPr>
            <a:endParaRPr lang="ru-RU"/>
          </a:p>
        </c:txPr>
        <c:crossAx val="119486696"/>
        <c:crosses val="max"/>
        <c:crossBetween val="between"/>
      </c:valAx>
    </c:plotArea>
    <c:legend>
      <c:legendPos val="t"/>
      <c:layout>
        <c:manualLayout>
          <c:xMode val="edge"/>
          <c:yMode val="edge"/>
          <c:x val="0.17303340786105439"/>
          <c:y val="0.24136482939632548"/>
          <c:w val="0.68521616279446551"/>
          <c:h val="7.2840213155173805E-2"/>
        </c:manualLayout>
      </c:layout>
      <c:overlay val="0"/>
      <c:txPr>
        <a:bodyPr/>
        <a:lstStyle/>
        <a:p>
          <a:pPr>
            <a:defRPr sz="854" b="0" i="0" u="none" strike="noStrike" baseline="0">
              <a:solidFill>
                <a:srgbClr val="000000"/>
              </a:solidFill>
              <a:latin typeface="Calibri Light"/>
              <a:ea typeface="Calibri Light"/>
              <a:cs typeface="Calibri Light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>
          <a:lumMod val="95000"/>
        </a:schemeClr>
      </a:solidFill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42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 Light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Индекс производства продукции сельского хозяйства,%</a:t>
            </a:r>
          </a:p>
        </c:rich>
      </c:tx>
      <c:layout>
        <c:manualLayout>
          <c:xMode val="edge"/>
          <c:yMode val="edge"/>
          <c:x val="0.18769507585136766"/>
          <c:y val="2.7432787117826489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4570065534261047E-2"/>
          <c:y val="0.32287720791657804"/>
          <c:w val="0.9555555555555556"/>
          <c:h val="0.51694663167104116"/>
        </c:manualLayout>
      </c:layout>
      <c:lineChart>
        <c:grouping val="standard"/>
        <c:varyColors val="0"/>
        <c:ser>
          <c:idx val="0"/>
          <c:order val="0"/>
          <c:tx>
            <c:strRef>
              <c:f>'Сельское хоз'!$A$6</c:f>
              <c:strCache>
                <c:ptCount val="1"/>
                <c:pt idx="0">
                  <c:v>Удмуртия </c:v>
                </c:pt>
              </c:strCache>
            </c:strRef>
          </c:tx>
          <c:dLbls>
            <c:dLbl>
              <c:idx val="0"/>
              <c:layout>
                <c:manualLayout>
                  <c:x val="-7.1436306310767764E-2"/>
                  <c:y val="2.6882882882882882E-2"/>
                </c:manualLayout>
              </c:layout>
              <c:spPr>
                <a:noFill/>
                <a:ln w="22948">
                  <a:noFill/>
                </a:ln>
              </c:spPr>
              <c:txPr>
                <a:bodyPr/>
                <a:lstStyle/>
                <a:p>
                  <a:pPr>
                    <a:defRPr sz="1087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5440334109179792E-2"/>
                  <c:y val="-3.7981981981982015E-2"/>
                </c:manualLayout>
              </c:layout>
              <c:spPr>
                <a:noFill/>
                <a:ln w="22948">
                  <a:noFill/>
                </a:ln>
              </c:spPr>
              <c:txPr>
                <a:bodyPr/>
                <a:lstStyle/>
                <a:p>
                  <a:pPr>
                    <a:defRPr sz="1087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544033410917975E-2"/>
                  <c:y val="-3.0774774774774839E-2"/>
                </c:manualLayout>
              </c:layout>
              <c:spPr>
                <a:noFill/>
                <a:ln w="22948">
                  <a:noFill/>
                </a:ln>
              </c:spPr>
              <c:txPr>
                <a:bodyPr/>
                <a:lstStyle/>
                <a:p>
                  <a:pPr>
                    <a:defRPr sz="1087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1247461991779258E-2"/>
                  <c:y val="-4.518918918918919E-2"/>
                </c:manualLayout>
              </c:layout>
              <c:spPr>
                <a:noFill/>
                <a:ln w="22948">
                  <a:noFill/>
                </a:ln>
              </c:spPr>
              <c:txPr>
                <a:bodyPr/>
                <a:lstStyle/>
                <a:p>
                  <a:pPr>
                    <a:defRPr sz="1087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9789365951897519E-2"/>
                  <c:y val="-5.9603603603603603E-2"/>
                </c:manualLayout>
              </c:layout>
              <c:spPr>
                <a:noFill/>
                <a:ln w="22948">
                  <a:noFill/>
                </a:ln>
              </c:spPr>
              <c:txPr>
                <a:bodyPr/>
                <a:lstStyle/>
                <a:p>
                  <a:pPr>
                    <a:defRPr sz="1087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294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87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Times New Roman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'Сельское хоз'!$B$5:$F$5</c:f>
              <c:strCache>
                <c:ptCount val="5"/>
                <c:pt idx="0">
                  <c:v>2021 факт</c:v>
                </c:pt>
                <c:pt idx="1">
                  <c:v>2022 оценка</c:v>
                </c:pt>
                <c:pt idx="2">
                  <c:v>2023 прогноз</c:v>
                </c:pt>
                <c:pt idx="3">
                  <c:v>2024 прогноз</c:v>
                </c:pt>
                <c:pt idx="4">
                  <c:v>2025 прогноз </c:v>
                </c:pt>
              </c:strCache>
            </c:strRef>
          </c:cat>
          <c:val>
            <c:numRef>
              <c:f>'Сельское хоз'!$B$6:$F$6</c:f>
              <c:numCache>
                <c:formatCode>0.0</c:formatCode>
                <c:ptCount val="5"/>
                <c:pt idx="0">
                  <c:v>97.8</c:v>
                </c:pt>
                <c:pt idx="1">
                  <c:v>102.5</c:v>
                </c:pt>
                <c:pt idx="2">
                  <c:v>102.4</c:v>
                </c:pt>
                <c:pt idx="3">
                  <c:v>102.8</c:v>
                </c:pt>
                <c:pt idx="4">
                  <c:v>103.2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'Сельское хоз'!$A$7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square"/>
            <c:size val="2"/>
          </c:marker>
          <c:dLbls>
            <c:dLbl>
              <c:idx val="0"/>
              <c:layout>
                <c:manualLayout>
                  <c:x val="-7.1436306310767764E-2"/>
                  <c:y val="-2.6882882882882882E-2"/>
                </c:manualLayout>
              </c:layout>
              <c:spPr>
                <a:noFill/>
                <a:ln w="22948">
                  <a:noFill/>
                </a:ln>
              </c:spPr>
              <c:txPr>
                <a:bodyPr/>
                <a:lstStyle/>
                <a:p>
                  <a:pPr>
                    <a:defRPr sz="1087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2861717756978495E-2"/>
                  <c:y val="3.7981981981981917E-2"/>
                </c:manualLayout>
              </c:layout>
              <c:spPr>
                <a:noFill/>
                <a:ln w="22948">
                  <a:noFill/>
                </a:ln>
              </c:spPr>
              <c:txPr>
                <a:bodyPr/>
                <a:lstStyle/>
                <a:p>
                  <a:pPr>
                    <a:defRPr sz="1087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1247461991779327E-2"/>
                  <c:y val="4.518918918918912E-2"/>
                </c:manualLayout>
              </c:layout>
              <c:spPr>
                <a:noFill/>
                <a:ln w="22948">
                  <a:noFill/>
                </a:ln>
              </c:spPr>
              <c:txPr>
                <a:bodyPr/>
                <a:lstStyle/>
                <a:p>
                  <a:pPr>
                    <a:defRPr sz="1087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7054589874378835E-2"/>
                  <c:y val="5.239639639639633E-2"/>
                </c:manualLayout>
              </c:layout>
              <c:spPr>
                <a:noFill/>
                <a:ln w="22948">
                  <a:noFill/>
                </a:ln>
              </c:spPr>
              <c:txPr>
                <a:bodyPr/>
                <a:lstStyle/>
                <a:p>
                  <a:pPr>
                    <a:defRPr sz="1087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9789365951897519E-2"/>
                  <c:y val="4.518918918918912E-2"/>
                </c:manualLayout>
              </c:layout>
              <c:spPr>
                <a:noFill/>
                <a:ln w="22948">
                  <a:noFill/>
                </a:ln>
              </c:spPr>
              <c:txPr>
                <a:bodyPr/>
                <a:lstStyle/>
                <a:p>
                  <a:pPr>
                    <a:defRPr sz="1087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294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87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Times New Roman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'Сельское хоз'!$B$5:$F$5</c:f>
              <c:strCache>
                <c:ptCount val="5"/>
                <c:pt idx="0">
                  <c:v>2021 факт</c:v>
                </c:pt>
                <c:pt idx="1">
                  <c:v>2022 оценка</c:v>
                </c:pt>
                <c:pt idx="2">
                  <c:v>2023 прогноз</c:v>
                </c:pt>
                <c:pt idx="3">
                  <c:v>2024 прогноз</c:v>
                </c:pt>
                <c:pt idx="4">
                  <c:v>2025 прогноз </c:v>
                </c:pt>
              </c:strCache>
            </c:strRef>
          </c:cat>
          <c:val>
            <c:numRef>
              <c:f>'Сельское хоз'!$B$7:$F$7</c:f>
              <c:numCache>
                <c:formatCode>0.0</c:formatCode>
                <c:ptCount val="5"/>
                <c:pt idx="0">
                  <c:v>99.1</c:v>
                </c:pt>
                <c:pt idx="1">
                  <c:v>100.5</c:v>
                </c:pt>
                <c:pt idx="2">
                  <c:v>101.6</c:v>
                </c:pt>
                <c:pt idx="3">
                  <c:v>101.7</c:v>
                </c:pt>
                <c:pt idx="4">
                  <c:v>101.7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487088"/>
        <c:axId val="862198096"/>
      </c:lineChart>
      <c:catAx>
        <c:axId val="119487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62198096"/>
        <c:crosses val="autoZero"/>
        <c:auto val="1"/>
        <c:lblAlgn val="ctr"/>
        <c:lblOffset val="100"/>
        <c:noMultiLvlLbl val="0"/>
      </c:catAx>
      <c:valAx>
        <c:axId val="86219809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19487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015351854603081"/>
          <c:y val="0.19458948712492019"/>
          <c:w val="0.54015021707192257"/>
          <c:h val="7.3507271050578138E-2"/>
        </c:manualLayout>
      </c:layout>
      <c:overlay val="0"/>
      <c:txPr>
        <a:bodyPr/>
        <a:lstStyle/>
        <a:p>
          <a:pPr>
            <a:defRPr sz="838" b="0" i="0" u="none" strike="noStrike" baseline="0">
              <a:solidFill>
                <a:srgbClr val="000000"/>
              </a:solidFill>
              <a:latin typeface="Cambria"/>
              <a:ea typeface="Cambria"/>
              <a:cs typeface="Cambria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>
          <a:lumMod val="95000"/>
        </a:schemeClr>
      </a:solidFill>
    </a:ln>
  </c:spPr>
  <c:txPr>
    <a:bodyPr/>
    <a:lstStyle/>
    <a:p>
      <a:pPr>
        <a:defRPr sz="90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3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Индекс оборота розничного товароборота, %</a:t>
            </a:r>
          </a:p>
        </c:rich>
      </c:tx>
      <c:layout>
        <c:manualLayout>
          <c:xMode val="edge"/>
          <c:yMode val="edge"/>
          <c:x val="0.1482705431051887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3888888888888889"/>
          <c:w val="0.94255555555555559"/>
          <c:h val="0.43862678623505397"/>
        </c:manualLayout>
      </c:layout>
      <c:lineChart>
        <c:grouping val="standard"/>
        <c:varyColors val="0"/>
        <c:ser>
          <c:idx val="0"/>
          <c:order val="0"/>
          <c:tx>
            <c:strRef>
              <c:f>'оборот розн'!$A$3</c:f>
              <c:strCache>
                <c:ptCount val="1"/>
                <c:pt idx="0">
                  <c:v>Удмуртия </c:v>
                </c:pt>
              </c:strCache>
            </c:strRef>
          </c:tx>
          <c:dLbls>
            <c:dLbl>
              <c:idx val="0"/>
              <c:layout>
                <c:manualLayout>
                  <c:x val="-7.184079601990051E-2"/>
                  <c:y val="-5.5189336627039266E-2"/>
                </c:manualLayout>
              </c:layout>
              <c:spPr>
                <a:noFill/>
                <a:ln w="24114">
                  <a:noFill/>
                </a:ln>
              </c:spPr>
              <c:txPr>
                <a:bodyPr/>
                <a:lstStyle/>
                <a:p>
                  <a:pPr>
                    <a:defRPr sz="114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443671406745798E-2"/>
                  <c:y val="-6.2967834902990169E-2"/>
                </c:manualLayout>
              </c:layout>
              <c:spPr>
                <a:noFill/>
                <a:ln w="24114">
                  <a:noFill/>
                </a:ln>
              </c:spPr>
              <c:txPr>
                <a:bodyPr/>
                <a:lstStyle/>
                <a:p>
                  <a:pPr>
                    <a:defRPr sz="114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037489678602808E-2"/>
                  <c:y val="5.4930469541175683E-2"/>
                </c:manualLayout>
              </c:layout>
              <c:spPr>
                <a:noFill/>
                <a:ln w="24114">
                  <a:noFill/>
                </a:ln>
              </c:spPr>
              <c:txPr>
                <a:bodyPr/>
                <a:lstStyle/>
                <a:p>
                  <a:pPr>
                    <a:defRPr sz="114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820785834606495E-2"/>
                  <c:y val="4.5837270341207256E-2"/>
                </c:manualLayout>
              </c:layout>
              <c:spPr>
                <a:noFill/>
                <a:ln w="24114">
                  <a:noFill/>
                </a:ln>
              </c:spPr>
              <c:txPr>
                <a:bodyPr/>
                <a:lstStyle/>
                <a:p>
                  <a:pPr>
                    <a:defRPr sz="114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0257609589846041E-2"/>
                  <c:y val="3.737738665019804E-2"/>
                </c:manualLayout>
              </c:layout>
              <c:spPr>
                <a:noFill/>
                <a:ln w="24114">
                  <a:noFill/>
                </a:ln>
              </c:spPr>
              <c:txPr>
                <a:bodyPr/>
                <a:lstStyle/>
                <a:p>
                  <a:pPr>
                    <a:defRPr sz="114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1983818976061115E-2"/>
                  <c:y val="5.8958159136143849E-2"/>
                </c:manualLayout>
              </c:layout>
              <c:spPr>
                <a:noFill/>
                <a:ln w="24114">
                  <a:noFill/>
                </a:ln>
              </c:spPr>
              <c:txPr>
                <a:bodyPr/>
                <a:lstStyle/>
                <a:p>
                  <a:pPr>
                    <a:defRPr sz="114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1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4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'оборот розн'!$B$2:$F$2</c:f>
              <c:strCache>
                <c:ptCount val="5"/>
                <c:pt idx="0">
                  <c:v>2021 факт</c:v>
                </c:pt>
                <c:pt idx="1">
                  <c:v>2022 оценка</c:v>
                </c:pt>
                <c:pt idx="2">
                  <c:v>2023 прогноз</c:v>
                </c:pt>
                <c:pt idx="3">
                  <c:v>2024 прогноз</c:v>
                </c:pt>
                <c:pt idx="4">
                  <c:v>2025 прогноз </c:v>
                </c:pt>
              </c:strCache>
            </c:strRef>
          </c:cat>
          <c:val>
            <c:numRef>
              <c:f>'оборот розн'!$B$3:$F$3</c:f>
              <c:numCache>
                <c:formatCode>0.0</c:formatCode>
                <c:ptCount val="5"/>
                <c:pt idx="0" formatCode="General">
                  <c:v>103</c:v>
                </c:pt>
                <c:pt idx="1">
                  <c:v>99</c:v>
                </c:pt>
                <c:pt idx="2" formatCode="General">
                  <c:v>101</c:v>
                </c:pt>
                <c:pt idx="3" formatCode="General">
                  <c:v>101.6</c:v>
                </c:pt>
                <c:pt idx="4" formatCode="General">
                  <c:v>102.6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'оборот розн'!$A$4</c:f>
              <c:strCache>
                <c:ptCount val="1"/>
                <c:pt idx="0">
                  <c:v>Россия</c:v>
                </c:pt>
              </c:strCache>
            </c:strRef>
          </c:tx>
          <c:dLbls>
            <c:dLbl>
              <c:idx val="0"/>
              <c:layout>
                <c:manualLayout>
                  <c:x val="-0.10477627609981588"/>
                  <c:y val="-3.8927898718542582E-2"/>
                </c:manualLayout>
              </c:layout>
              <c:spPr>
                <a:noFill/>
                <a:ln w="24114">
                  <a:noFill/>
                </a:ln>
              </c:spPr>
              <c:txPr>
                <a:bodyPr/>
                <a:lstStyle/>
                <a:p>
                  <a:pPr>
                    <a:defRPr sz="114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3831696637884048E-2"/>
                  <c:y val="-5.895777363752263E-2"/>
                </c:manualLayout>
              </c:layout>
              <c:spPr>
                <a:noFill/>
                <a:ln w="24114">
                  <a:noFill/>
                </a:ln>
              </c:spPr>
              <c:txPr>
                <a:bodyPr/>
                <a:lstStyle/>
                <a:p>
                  <a:pPr>
                    <a:defRPr sz="114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3808751518000624E-2"/>
                  <c:y val="-5.4962482630847617E-2"/>
                </c:manualLayout>
              </c:layout>
              <c:spPr>
                <a:noFill/>
                <a:ln w="24114">
                  <a:noFill/>
                </a:ln>
              </c:spPr>
              <c:txPr>
                <a:bodyPr/>
                <a:lstStyle/>
                <a:p>
                  <a:pPr>
                    <a:defRPr sz="114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3831696637884076E-2"/>
                  <c:y val="-5.895777363752254E-2"/>
                </c:manualLayout>
              </c:layout>
              <c:spPr>
                <a:noFill/>
                <a:ln w="24114">
                  <a:noFill/>
                </a:ln>
              </c:spPr>
              <c:txPr>
                <a:bodyPr/>
                <a:lstStyle/>
                <a:p>
                  <a:pPr>
                    <a:defRPr sz="114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3109263563033558E-2"/>
                  <c:y val="-6.8749438617632788E-2"/>
                </c:manualLayout>
              </c:layout>
              <c:spPr>
                <a:noFill/>
                <a:ln w="24114">
                  <a:noFill/>
                </a:ln>
              </c:spPr>
              <c:txPr>
                <a:bodyPr/>
                <a:lstStyle/>
                <a:p>
                  <a:pPr>
                    <a:defRPr sz="114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483553025949414E-2"/>
                  <c:y val="-7.8541103597742981E-2"/>
                </c:manualLayout>
              </c:layout>
              <c:spPr>
                <a:noFill/>
                <a:ln w="24114">
                  <a:noFill/>
                </a:ln>
              </c:spPr>
              <c:txPr>
                <a:bodyPr/>
                <a:lstStyle/>
                <a:p>
                  <a:pPr>
                    <a:defRPr sz="114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1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4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'оборот розн'!$B$2:$F$2</c:f>
              <c:strCache>
                <c:ptCount val="5"/>
                <c:pt idx="0">
                  <c:v>2021 факт</c:v>
                </c:pt>
                <c:pt idx="1">
                  <c:v>2022 оценка</c:v>
                </c:pt>
                <c:pt idx="2">
                  <c:v>2023 прогноз</c:v>
                </c:pt>
                <c:pt idx="3">
                  <c:v>2024 прогноз</c:v>
                </c:pt>
                <c:pt idx="4">
                  <c:v>2025 прогноз </c:v>
                </c:pt>
              </c:strCache>
            </c:strRef>
          </c:cat>
          <c:val>
            <c:numRef>
              <c:f>'оборот розн'!$B$4:$F$4</c:f>
              <c:numCache>
                <c:formatCode>General</c:formatCode>
                <c:ptCount val="5"/>
                <c:pt idx="0">
                  <c:v>107.8</c:v>
                </c:pt>
                <c:pt idx="1">
                  <c:v>93.9</c:v>
                </c:pt>
                <c:pt idx="2">
                  <c:v>102.7</c:v>
                </c:pt>
                <c:pt idx="3">
                  <c:v>103.7</c:v>
                </c:pt>
                <c:pt idx="4">
                  <c:v>103.1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2196920"/>
        <c:axId val="862199272"/>
      </c:lineChart>
      <c:catAx>
        <c:axId val="862196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62199272"/>
        <c:crosses val="autoZero"/>
        <c:auto val="1"/>
        <c:lblAlgn val="ctr"/>
        <c:lblOffset val="100"/>
        <c:noMultiLvlLbl val="0"/>
      </c:catAx>
      <c:valAx>
        <c:axId val="862199272"/>
        <c:scaling>
          <c:orientation val="minMax"/>
          <c:min val="90"/>
        </c:scaling>
        <c:delete val="1"/>
        <c:axPos val="l"/>
        <c:numFmt formatCode="General" sourceLinked="1"/>
        <c:majorTickMark val="out"/>
        <c:minorTickMark val="none"/>
        <c:tickLblPos val="nextTo"/>
        <c:crossAx val="862196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5644417524732482"/>
          <c:y val="0.19406080312835389"/>
          <c:w val="0.60459277205733897"/>
          <c:h val="0.12576747744588607"/>
        </c:manualLayout>
      </c:layout>
      <c:overlay val="0"/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Calibri Light"/>
              <a:ea typeface="Calibri Light"/>
              <a:cs typeface="Calibri Light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>
          <a:lumMod val="95000"/>
        </a:schemeClr>
      </a:solidFill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Calibri Light"/>
          <a:ea typeface="Calibri Light"/>
          <a:cs typeface="Calibri Light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Яна Олеговна</dc:creator>
  <cp:keywords/>
  <dc:description/>
  <cp:lastModifiedBy>Сафина Яна Олеговна</cp:lastModifiedBy>
  <cp:revision>5</cp:revision>
  <dcterms:created xsi:type="dcterms:W3CDTF">2022-11-15T05:43:00Z</dcterms:created>
  <dcterms:modified xsi:type="dcterms:W3CDTF">2022-11-15T10:54:00Z</dcterms:modified>
</cp:coreProperties>
</file>